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F711" w14:textId="77777777" w:rsidR="00EB7668" w:rsidRDefault="00395D17" w:rsidP="00D501E9">
      <w:pPr>
        <w:pStyle w:val="berschrift1"/>
        <w:rPr>
          <w:lang w:val="de-DE"/>
        </w:rPr>
      </w:pPr>
      <w:r w:rsidRPr="00274E1E">
        <w:rPr>
          <w:noProof/>
          <w:lang w:val="de-DE" w:eastAsia="de-DE"/>
        </w:rPr>
        <w:drawing>
          <wp:inline distT="0" distB="0" distL="0" distR="0" wp14:anchorId="49393CA3" wp14:editId="33D802A5">
            <wp:extent cx="4876800" cy="2744489"/>
            <wp:effectExtent l="0" t="0" r="0" b="0"/>
            <wp:docPr id="1" name="Picture 1"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chine on the counter&#10;&#10;Description automatically generated with low confidence"/>
                    <pic:cNvPicPr/>
                  </pic:nvPicPr>
                  <pic:blipFill>
                    <a:blip r:embed="rId11"/>
                    <a:stretch>
                      <a:fillRect/>
                    </a:stretch>
                  </pic:blipFill>
                  <pic:spPr>
                    <a:xfrm>
                      <a:off x="0" y="0"/>
                      <a:ext cx="4876800" cy="2744489"/>
                    </a:xfrm>
                    <a:prstGeom prst="rect">
                      <a:avLst/>
                    </a:prstGeom>
                  </pic:spPr>
                </pic:pic>
              </a:graphicData>
            </a:graphic>
          </wp:inline>
        </w:drawing>
      </w:r>
      <w:r w:rsidR="00D501E9" w:rsidRPr="00274E1E">
        <w:rPr>
          <w:lang w:val="de-DE"/>
        </w:rPr>
        <w:t xml:space="preserve"> Sennheiser stellt Pläne zur Erweiterung der Evolution Wireless Digital-Familie vor</w:t>
      </w:r>
    </w:p>
    <w:p w14:paraId="1515B29E" w14:textId="176EDBFD" w:rsidR="006940D9" w:rsidRPr="006D0E16" w:rsidRDefault="00A012C8" w:rsidP="003361DB">
      <w:pPr>
        <w:pStyle w:val="berschrift1"/>
        <w:rPr>
          <w:rStyle w:val="Fett"/>
          <w:b/>
          <w:bCs w:val="0"/>
          <w:color w:val="auto"/>
          <w:lang w:val="de-DE"/>
        </w:rPr>
      </w:pPr>
      <w:r w:rsidRPr="006D0E16">
        <w:rPr>
          <w:rStyle w:val="Fett"/>
          <w:b/>
          <w:bCs w:val="0"/>
          <w:color w:val="auto"/>
          <w:lang w:val="de-DE"/>
        </w:rPr>
        <w:t>Erste</w:t>
      </w:r>
      <w:r w:rsidR="60618214" w:rsidRPr="006D0E16">
        <w:rPr>
          <w:rStyle w:val="Fett"/>
          <w:b/>
          <w:bCs w:val="0"/>
          <w:color w:val="auto"/>
          <w:lang w:val="de-DE"/>
        </w:rPr>
        <w:t xml:space="preserve"> </w:t>
      </w:r>
      <w:r w:rsidR="00D501E9" w:rsidRPr="006D0E16">
        <w:rPr>
          <w:rStyle w:val="Fett"/>
          <w:b/>
          <w:bCs w:val="0"/>
          <w:color w:val="auto"/>
          <w:lang w:val="de-DE"/>
        </w:rPr>
        <w:t>EW-DX-Muster werden auf der InfoComm 2022 gezeigt</w:t>
      </w:r>
    </w:p>
    <w:p w14:paraId="04BAD670" w14:textId="7C722266" w:rsidR="00A660C5" w:rsidRPr="00274E1E" w:rsidRDefault="00A660C5" w:rsidP="00A660C5">
      <w:pPr>
        <w:rPr>
          <w:rStyle w:val="Fett"/>
          <w:lang w:val="de-DE"/>
        </w:rPr>
      </w:pPr>
    </w:p>
    <w:p w14:paraId="2A8C8C88" w14:textId="571B33E4" w:rsidR="00C97C7C" w:rsidRPr="00FD7010" w:rsidRDefault="00D501E9" w:rsidP="00DA7718">
      <w:pPr>
        <w:rPr>
          <w:rStyle w:val="Fett"/>
          <w:lang w:val="de-DE"/>
        </w:rPr>
      </w:pPr>
      <w:r w:rsidRPr="00274E1E">
        <w:rPr>
          <w:rStyle w:val="Fett"/>
          <w:i/>
          <w:iCs/>
          <w:lang w:val="de-DE"/>
        </w:rPr>
        <w:t xml:space="preserve">Wedemark/Las Vegas, 8. Juni 2022 </w:t>
      </w:r>
      <w:r w:rsidR="009F470B">
        <w:rPr>
          <w:rStyle w:val="Fett"/>
          <w:i/>
          <w:iCs/>
          <w:lang w:val="de-DE"/>
        </w:rPr>
        <w:t xml:space="preserve">– </w:t>
      </w:r>
      <w:r w:rsidRPr="00FD7010">
        <w:rPr>
          <w:rStyle w:val="Fett"/>
          <w:lang w:val="de-DE"/>
        </w:rPr>
        <w:t xml:space="preserve">Audiospezialist Sennheiser hat auf der InfoComm Pläne zur Erweiterung der </w:t>
      </w:r>
      <w:r w:rsidR="003361DB">
        <w:rPr>
          <w:rStyle w:val="Fett"/>
          <w:lang w:val="de-DE"/>
        </w:rPr>
        <w:t xml:space="preserve">drahtlosen Mikrofonserie </w:t>
      </w:r>
      <w:r w:rsidRPr="00FD7010">
        <w:rPr>
          <w:rStyle w:val="Fett"/>
          <w:lang w:val="de-DE"/>
        </w:rPr>
        <w:t>Evolution Wireless Digital</w:t>
      </w:r>
      <w:r w:rsidR="003361DB">
        <w:rPr>
          <w:rStyle w:val="Fett"/>
          <w:lang w:val="de-DE"/>
        </w:rPr>
        <w:t xml:space="preserve"> </w:t>
      </w:r>
      <w:r w:rsidRPr="00FD7010">
        <w:rPr>
          <w:rStyle w:val="Fett"/>
          <w:lang w:val="de-DE"/>
        </w:rPr>
        <w:t xml:space="preserve">bekannt gegeben. Die neuen Mikrofonsysteme mit der Bezeichnung EW-DX </w:t>
      </w:r>
      <w:r w:rsidR="007032BF">
        <w:rPr>
          <w:rStyle w:val="Fett"/>
          <w:lang w:val="de-DE"/>
        </w:rPr>
        <w:t>vereinfachen</w:t>
      </w:r>
      <w:r w:rsidR="007032BF" w:rsidRPr="00FD7010">
        <w:rPr>
          <w:rStyle w:val="Fett"/>
          <w:lang w:val="de-DE"/>
        </w:rPr>
        <w:t xml:space="preserve"> </w:t>
      </w:r>
      <w:r w:rsidRPr="00FD7010">
        <w:rPr>
          <w:rStyle w:val="Fett"/>
          <w:lang w:val="de-DE"/>
        </w:rPr>
        <w:t>professionelle Arbeitsabläufe</w:t>
      </w:r>
      <w:r w:rsidR="007032BF">
        <w:rPr>
          <w:rStyle w:val="Fett"/>
          <w:lang w:val="de-DE"/>
        </w:rPr>
        <w:t xml:space="preserve"> durch</w:t>
      </w:r>
      <w:r w:rsidRPr="00FD7010">
        <w:rPr>
          <w:rStyle w:val="Fett"/>
          <w:lang w:val="de-DE"/>
        </w:rPr>
        <w:t xml:space="preserve"> ein digitales UHF-System, das sich problemlos skalieren lässt. Das komplette Set der neuen EW-DX-Produkte umfasst Hand</w:t>
      </w:r>
      <w:r w:rsidR="003361DB">
        <w:rPr>
          <w:rStyle w:val="Fett"/>
          <w:lang w:val="de-DE"/>
        </w:rPr>
        <w:t xml:space="preserve">sender, </w:t>
      </w:r>
      <w:r w:rsidRPr="00FD7010">
        <w:rPr>
          <w:rStyle w:val="Fett"/>
          <w:lang w:val="de-DE"/>
        </w:rPr>
        <w:t>Taschen</w:t>
      </w:r>
      <w:r w:rsidR="003361DB">
        <w:rPr>
          <w:rStyle w:val="Fett"/>
          <w:lang w:val="de-DE"/>
        </w:rPr>
        <w:t>sender und drahtlose Tischfüße sowie</w:t>
      </w:r>
      <w:r w:rsidRPr="00FD7010">
        <w:rPr>
          <w:rStyle w:val="Fett"/>
          <w:lang w:val="de-DE"/>
        </w:rPr>
        <w:t xml:space="preserve"> zwei Zweikanal-Empfänger</w:t>
      </w:r>
      <w:r w:rsidR="00AA5787" w:rsidRPr="00AA5787">
        <w:rPr>
          <w:rStyle w:val="Fett"/>
          <w:lang w:val="de-DE"/>
        </w:rPr>
        <w:t xml:space="preserve"> </w:t>
      </w:r>
      <w:r w:rsidR="00AA5787" w:rsidRPr="00FD7010">
        <w:rPr>
          <w:rStyle w:val="Fett"/>
          <w:lang w:val="de-DE"/>
        </w:rPr>
        <w:t xml:space="preserve">mit und </w:t>
      </w:r>
      <w:r w:rsidR="00AA5787" w:rsidRPr="00E87AD0">
        <w:rPr>
          <w:rStyle w:val="Fett"/>
          <w:lang w:val="de-DE"/>
        </w:rPr>
        <w:t>ohne Dante</w:t>
      </w:r>
      <w:r w:rsidR="00AA5787" w:rsidRPr="00FD7010">
        <w:rPr>
          <w:rStyle w:val="Fett"/>
          <w:lang w:val="de-DE"/>
        </w:rPr>
        <w:t>®</w:t>
      </w:r>
      <w:r w:rsidRPr="00FD7010">
        <w:rPr>
          <w:rStyle w:val="Fett"/>
          <w:lang w:val="de-DE"/>
        </w:rPr>
        <w:t xml:space="preserve"> </w:t>
      </w:r>
      <w:r w:rsidR="003315EB">
        <w:rPr>
          <w:rStyle w:val="Fett"/>
          <w:lang w:val="de-DE"/>
        </w:rPr>
        <w:t>(1/2</w:t>
      </w:r>
      <w:r w:rsidR="00E87AD0" w:rsidRPr="00E87AD0">
        <w:rPr>
          <w:rStyle w:val="Fett"/>
          <w:lang w:val="de-DE"/>
        </w:rPr>
        <w:t xml:space="preserve"> 19</w:t>
      </w:r>
      <w:r w:rsidR="003361DB">
        <w:rPr>
          <w:rStyle w:val="Fett"/>
          <w:lang w:val="de-DE"/>
        </w:rPr>
        <w:t>”</w:t>
      </w:r>
      <w:r w:rsidR="000B03EF">
        <w:rPr>
          <w:rStyle w:val="Fett"/>
          <w:lang w:val="de-DE"/>
        </w:rPr>
        <w:t>-Format</w:t>
      </w:r>
      <w:r w:rsidR="003315EB">
        <w:rPr>
          <w:rStyle w:val="Fett"/>
          <w:lang w:val="de-DE"/>
        </w:rPr>
        <w:t>)</w:t>
      </w:r>
      <w:r w:rsidRPr="00FD7010">
        <w:rPr>
          <w:rStyle w:val="Fett"/>
          <w:lang w:val="de-DE"/>
        </w:rPr>
        <w:t xml:space="preserve"> </w:t>
      </w:r>
      <w:r w:rsidR="003361DB">
        <w:rPr>
          <w:rStyle w:val="Fett"/>
          <w:lang w:val="de-DE"/>
        </w:rPr>
        <w:t>und</w:t>
      </w:r>
      <w:r w:rsidRPr="00FD7010">
        <w:rPr>
          <w:rStyle w:val="Fett"/>
          <w:lang w:val="de-DE"/>
        </w:rPr>
        <w:t xml:space="preserve"> einen Dante-fähigen </w:t>
      </w:r>
      <w:r w:rsidR="003361DB">
        <w:rPr>
          <w:rStyle w:val="Fett"/>
          <w:lang w:val="de-DE"/>
        </w:rPr>
        <w:t>Vierkanal-</w:t>
      </w:r>
      <w:r w:rsidRPr="00FD7010">
        <w:rPr>
          <w:rStyle w:val="Fett"/>
          <w:lang w:val="de-DE"/>
        </w:rPr>
        <w:t>Empfänger im 19</w:t>
      </w:r>
      <w:r w:rsidR="003361DB">
        <w:rPr>
          <w:rStyle w:val="Fett"/>
          <w:lang w:val="de-DE"/>
        </w:rPr>
        <w:t>”</w:t>
      </w:r>
      <w:r w:rsidR="00E87AD0">
        <w:rPr>
          <w:rStyle w:val="Fett"/>
          <w:lang w:val="de-DE"/>
        </w:rPr>
        <w:t>-</w:t>
      </w:r>
      <w:r w:rsidRPr="00FD7010">
        <w:rPr>
          <w:rStyle w:val="Fett"/>
          <w:lang w:val="de-DE"/>
        </w:rPr>
        <w:t>Format. Die erste</w:t>
      </w:r>
      <w:r w:rsidR="00AA5787">
        <w:rPr>
          <w:rStyle w:val="Fett"/>
          <w:lang w:val="de-DE"/>
        </w:rPr>
        <w:t xml:space="preserve">n </w:t>
      </w:r>
      <w:r w:rsidRPr="00FD7010">
        <w:rPr>
          <w:rStyle w:val="Fett"/>
          <w:lang w:val="de-DE"/>
        </w:rPr>
        <w:t xml:space="preserve">Produkte </w:t>
      </w:r>
      <w:r w:rsidR="00AA5787">
        <w:rPr>
          <w:rStyle w:val="Fett"/>
          <w:lang w:val="de-DE"/>
        </w:rPr>
        <w:t>werden</w:t>
      </w:r>
      <w:r w:rsidRPr="00FD7010">
        <w:rPr>
          <w:rStyle w:val="Fett"/>
          <w:lang w:val="de-DE"/>
        </w:rPr>
        <w:t xml:space="preserve"> gegen Ende 2022 </w:t>
      </w:r>
      <w:r w:rsidR="00E87AD0">
        <w:rPr>
          <w:rStyle w:val="Fett"/>
          <w:lang w:val="de-DE"/>
        </w:rPr>
        <w:t>erhältlich</w:t>
      </w:r>
      <w:r w:rsidRPr="00FD7010">
        <w:rPr>
          <w:rStyle w:val="Fett"/>
          <w:lang w:val="de-DE"/>
        </w:rPr>
        <w:t xml:space="preserve"> sein, weitere folgen i</w:t>
      </w:r>
      <w:r w:rsidR="006F30FF">
        <w:rPr>
          <w:rStyle w:val="Fett"/>
          <w:lang w:val="de-DE"/>
        </w:rPr>
        <w:t xml:space="preserve">m ersten Halbjahr </w:t>
      </w:r>
      <w:r w:rsidRPr="00FD7010">
        <w:rPr>
          <w:rStyle w:val="Fett"/>
          <w:lang w:val="de-DE"/>
        </w:rPr>
        <w:t>2023.</w:t>
      </w:r>
    </w:p>
    <w:p w14:paraId="3781E8F3" w14:textId="77777777" w:rsidR="00C97C7C" w:rsidRPr="00AA5787" w:rsidRDefault="00C97C7C" w:rsidP="00DA7718">
      <w:pPr>
        <w:rPr>
          <w:rStyle w:val="Fett"/>
          <w:lang w:val="de-DE"/>
        </w:rPr>
      </w:pPr>
    </w:p>
    <w:p w14:paraId="1080D19F" w14:textId="7854405F" w:rsidR="004A608A" w:rsidRPr="00274E1E" w:rsidRDefault="002F2179" w:rsidP="00C97C7C">
      <w:pPr>
        <w:rPr>
          <w:lang w:val="de-DE"/>
        </w:rPr>
      </w:pPr>
      <w:r>
        <w:rPr>
          <w:lang w:val="de-DE"/>
        </w:rPr>
        <w:t>„</w:t>
      </w:r>
      <w:r w:rsidR="00C97C7C" w:rsidRPr="00274E1E">
        <w:rPr>
          <w:lang w:val="de-DE"/>
        </w:rPr>
        <w:t>Wir freuen uns, den Besuchern der InfoComm einen ersten Blick auf das zu geben, was sie im Laufe dieses Jahres und im Jahr 2023 erwartet</w:t>
      </w:r>
      <w:r>
        <w:rPr>
          <w:lang w:val="de-DE"/>
        </w:rPr>
        <w:t>“</w:t>
      </w:r>
      <w:r w:rsidR="00C97C7C" w:rsidRPr="00274E1E">
        <w:rPr>
          <w:lang w:val="de-DE"/>
        </w:rPr>
        <w:t xml:space="preserve">, sagt Michael Altemark, Lead Product Manager Wireless, Business Communications bei Sennheiser. </w:t>
      </w:r>
      <w:r>
        <w:rPr>
          <w:lang w:val="de-DE"/>
        </w:rPr>
        <w:t>„A</w:t>
      </w:r>
      <w:r w:rsidR="00C97C7C" w:rsidRPr="00274E1E">
        <w:rPr>
          <w:lang w:val="de-DE"/>
        </w:rPr>
        <w:t xml:space="preserve">ls Erweiterung unserer erfolgreichen Evolution Wireless Digital-Familie werden </w:t>
      </w:r>
      <w:r w:rsidR="00AA5787">
        <w:rPr>
          <w:lang w:val="de-DE"/>
        </w:rPr>
        <w:t xml:space="preserve">auch </w:t>
      </w:r>
      <w:r w:rsidR="00C97C7C" w:rsidRPr="00274E1E">
        <w:rPr>
          <w:lang w:val="de-DE"/>
        </w:rPr>
        <w:t xml:space="preserve">die EW-DX-Produkte </w:t>
      </w:r>
      <w:r w:rsidR="00981A70">
        <w:rPr>
          <w:lang w:val="de-DE"/>
        </w:rPr>
        <w:t xml:space="preserve">über </w:t>
      </w:r>
      <w:r w:rsidR="00C97C7C" w:rsidRPr="00274E1E">
        <w:rPr>
          <w:lang w:val="de-DE"/>
        </w:rPr>
        <w:t xml:space="preserve">die </w:t>
      </w:r>
      <w:r>
        <w:rPr>
          <w:lang w:val="de-DE"/>
        </w:rPr>
        <w:t>zentralen M</w:t>
      </w:r>
      <w:r w:rsidR="00C97C7C" w:rsidRPr="00274E1E">
        <w:rPr>
          <w:lang w:val="de-DE"/>
        </w:rPr>
        <w:t xml:space="preserve">erkmale </w:t>
      </w:r>
      <w:r w:rsidR="00AA5787">
        <w:rPr>
          <w:lang w:val="de-DE"/>
        </w:rPr>
        <w:t xml:space="preserve">der Serie </w:t>
      </w:r>
      <w:r w:rsidR="00C97C7C" w:rsidRPr="00274E1E">
        <w:rPr>
          <w:lang w:val="de-DE"/>
        </w:rPr>
        <w:t xml:space="preserve">wie die </w:t>
      </w:r>
      <w:r w:rsidR="00C97C7C" w:rsidRPr="002F2179">
        <w:rPr>
          <w:lang w:val="de-DE"/>
        </w:rPr>
        <w:t>niedrigste Laten</w:t>
      </w:r>
      <w:r w:rsidR="00AA5787">
        <w:rPr>
          <w:lang w:val="de-DE"/>
        </w:rPr>
        <w:t>z</w:t>
      </w:r>
      <w:r w:rsidR="00C97C7C" w:rsidRPr="00274E1E">
        <w:rPr>
          <w:lang w:val="de-DE"/>
        </w:rPr>
        <w:t xml:space="preserve"> auf dem Markt, </w:t>
      </w:r>
      <w:r w:rsidR="00AA5787">
        <w:rPr>
          <w:lang w:val="de-DE"/>
        </w:rPr>
        <w:t xml:space="preserve">das </w:t>
      </w:r>
      <w:r w:rsidR="00C97C7C" w:rsidRPr="00AA5787">
        <w:rPr>
          <w:lang w:val="de-DE"/>
        </w:rPr>
        <w:t>äquidistante Frequenz</w:t>
      </w:r>
      <w:r w:rsidR="00AA5787">
        <w:rPr>
          <w:lang w:val="de-DE"/>
        </w:rPr>
        <w:t>raster</w:t>
      </w:r>
      <w:r w:rsidR="00C97C7C" w:rsidRPr="002F2179">
        <w:rPr>
          <w:lang w:val="de-DE"/>
        </w:rPr>
        <w:t xml:space="preserve"> und den ultraweiten Eingangsdynamikbereich </w:t>
      </w:r>
      <w:r w:rsidR="00981A70">
        <w:rPr>
          <w:lang w:val="de-DE"/>
        </w:rPr>
        <w:t>verfügen</w:t>
      </w:r>
      <w:r w:rsidR="00C97C7C" w:rsidRPr="00274E1E">
        <w:rPr>
          <w:lang w:val="de-DE"/>
        </w:rPr>
        <w:t>.</w:t>
      </w:r>
      <w:r w:rsidR="00981A70">
        <w:rPr>
          <w:lang w:val="de-DE"/>
        </w:rPr>
        <w:t xml:space="preserve"> </w:t>
      </w:r>
      <w:r w:rsidR="00AA5787">
        <w:rPr>
          <w:lang w:val="de-DE"/>
        </w:rPr>
        <w:t xml:space="preserve">Dazu kommen </w:t>
      </w:r>
      <w:r w:rsidR="00C97C7C" w:rsidRPr="00274E1E">
        <w:rPr>
          <w:lang w:val="de-DE"/>
        </w:rPr>
        <w:t xml:space="preserve">zusätzliche Sender- und Empfängeroptionen wie </w:t>
      </w:r>
      <w:r w:rsidR="006C71DF">
        <w:rPr>
          <w:lang w:val="de-DE"/>
        </w:rPr>
        <w:t xml:space="preserve">z.B. </w:t>
      </w:r>
      <w:r w:rsidR="00C97C7C" w:rsidRPr="00274E1E">
        <w:rPr>
          <w:lang w:val="de-DE"/>
        </w:rPr>
        <w:t>Dante-Versionen</w:t>
      </w:r>
      <w:r w:rsidR="00C97C7C" w:rsidRPr="00AA5787">
        <w:rPr>
          <w:lang w:val="de-DE"/>
        </w:rPr>
        <w:t xml:space="preserve">, automatisches </w:t>
      </w:r>
      <w:r w:rsidR="00AA5787" w:rsidRPr="00AA5787">
        <w:rPr>
          <w:lang w:val="de-DE"/>
        </w:rPr>
        <w:t>Frequenz</w:t>
      </w:r>
      <w:r w:rsidR="00C97C7C" w:rsidRPr="00AA5787">
        <w:rPr>
          <w:lang w:val="de-DE"/>
        </w:rPr>
        <w:t>-Setup, skalierbare</w:t>
      </w:r>
      <w:r w:rsidR="00AA5787">
        <w:rPr>
          <w:lang w:val="de-DE"/>
        </w:rPr>
        <w:t xml:space="preserve"> Steuerungs- und Monitoroptionen </w:t>
      </w:r>
      <w:r w:rsidR="00C97C7C" w:rsidRPr="00274E1E">
        <w:rPr>
          <w:lang w:val="de-DE"/>
        </w:rPr>
        <w:t>sowie AES-256-Verschlüsselung zur sicheren Übertragung von Inhalten.</w:t>
      </w:r>
      <w:r w:rsidR="00324C8C">
        <w:rPr>
          <w:lang w:val="de-DE"/>
        </w:rPr>
        <w:t>“</w:t>
      </w:r>
    </w:p>
    <w:p w14:paraId="60C332AD" w14:textId="532370ED" w:rsidR="00426750" w:rsidRPr="00274E1E" w:rsidRDefault="00426750" w:rsidP="00426750">
      <w:pPr>
        <w:rPr>
          <w:lang w:val="de-DE"/>
        </w:rPr>
      </w:pPr>
      <w:r w:rsidRPr="00274E1E">
        <w:rPr>
          <w:b/>
          <w:bCs/>
          <w:noProof/>
          <w:lang w:val="de-DE" w:eastAsia="de-DE"/>
        </w:rPr>
        <w:lastRenderedPageBreak/>
        <w:drawing>
          <wp:inline distT="0" distB="0" distL="0" distR="0" wp14:anchorId="11B00C11" wp14:editId="0F44AE72">
            <wp:extent cx="4798762" cy="2876550"/>
            <wp:effectExtent l="0" t="0" r="1905" b="762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2"/>
                    <a:stretch>
                      <a:fillRect/>
                    </a:stretch>
                  </pic:blipFill>
                  <pic:spPr>
                    <a:xfrm>
                      <a:off x="0" y="0"/>
                      <a:ext cx="4798762" cy="2876550"/>
                    </a:xfrm>
                    <a:prstGeom prst="rect">
                      <a:avLst/>
                    </a:prstGeom>
                  </pic:spPr>
                </pic:pic>
              </a:graphicData>
            </a:graphic>
          </wp:inline>
        </w:drawing>
      </w:r>
    </w:p>
    <w:p w14:paraId="21CA748E" w14:textId="12ABA77F" w:rsidR="00426750" w:rsidRPr="00274E1E" w:rsidRDefault="00C97C7C" w:rsidP="00426750">
      <w:pPr>
        <w:rPr>
          <w:sz w:val="15"/>
          <w:lang w:val="de-DE"/>
        </w:rPr>
      </w:pPr>
      <w:r w:rsidRPr="00274E1E">
        <w:rPr>
          <w:sz w:val="15"/>
          <w:lang w:val="de-DE"/>
        </w:rPr>
        <w:t>Die neuen Systemkomponenten auf einen Blick</w:t>
      </w:r>
    </w:p>
    <w:p w14:paraId="5E457FA3" w14:textId="77777777" w:rsidR="00C97C7C" w:rsidRPr="00274E1E" w:rsidRDefault="00C97C7C" w:rsidP="00426750">
      <w:pPr>
        <w:rPr>
          <w:lang w:val="de-DE"/>
        </w:rPr>
      </w:pPr>
    </w:p>
    <w:p w14:paraId="1A80F9FB" w14:textId="0B9E5414" w:rsidR="00ED4CB6" w:rsidRPr="00274E1E" w:rsidRDefault="00C97C7C" w:rsidP="00844456">
      <w:pPr>
        <w:rPr>
          <w:lang w:val="de-DE"/>
        </w:rPr>
      </w:pPr>
      <w:r w:rsidRPr="00274E1E">
        <w:rPr>
          <w:lang w:val="de-DE"/>
        </w:rPr>
        <w:t xml:space="preserve">Als Teil der Evolution Wireless Digital-Familie </w:t>
      </w:r>
      <w:r w:rsidR="006C71DF">
        <w:rPr>
          <w:lang w:val="de-DE"/>
        </w:rPr>
        <w:t>zeigt auch</w:t>
      </w:r>
      <w:r w:rsidRPr="00274E1E">
        <w:rPr>
          <w:lang w:val="de-DE"/>
        </w:rPr>
        <w:t xml:space="preserve"> EW-DX</w:t>
      </w:r>
      <w:r w:rsidR="006C71DF">
        <w:rPr>
          <w:lang w:val="de-DE"/>
        </w:rPr>
        <w:t xml:space="preserve">, dass Drahtlostechnik nicht kompliziert sein muss. EW-DX ist so sorgfältig gebaut, dass die Systeme keine </w:t>
      </w:r>
      <w:r w:rsidR="000D780F">
        <w:rPr>
          <w:lang w:val="de-DE"/>
        </w:rPr>
        <w:t>n</w:t>
      </w:r>
      <w:r w:rsidRPr="00274E1E">
        <w:rPr>
          <w:lang w:val="de-DE"/>
        </w:rPr>
        <w:t>ennenswerte</w:t>
      </w:r>
      <w:r w:rsidR="006C71DF">
        <w:rPr>
          <w:lang w:val="de-DE"/>
        </w:rPr>
        <w:t>n</w:t>
      </w:r>
      <w:r w:rsidRPr="00274E1E">
        <w:rPr>
          <w:lang w:val="de-DE"/>
        </w:rPr>
        <w:t xml:space="preserve"> </w:t>
      </w:r>
      <w:r w:rsidRPr="006C71DF">
        <w:rPr>
          <w:lang w:val="de-DE"/>
        </w:rPr>
        <w:t>Intermodulationsprodukte</w:t>
      </w:r>
      <w:r w:rsidR="006C71DF">
        <w:rPr>
          <w:lang w:val="de-DE"/>
        </w:rPr>
        <w:t xml:space="preserve"> erzeugen. Daher </w:t>
      </w:r>
      <w:r w:rsidRPr="00274E1E">
        <w:rPr>
          <w:lang w:val="de-DE"/>
        </w:rPr>
        <w:t>genügt ein einfacher Tastendruck</w:t>
      </w:r>
      <w:r w:rsidR="006C71DF">
        <w:rPr>
          <w:lang w:val="de-DE"/>
        </w:rPr>
        <w:t xml:space="preserve">, und die </w:t>
      </w:r>
      <w:r w:rsidRPr="00274E1E">
        <w:rPr>
          <w:lang w:val="de-DE"/>
        </w:rPr>
        <w:t>Auto-Scan-Funktion</w:t>
      </w:r>
      <w:r w:rsidR="006C71DF">
        <w:rPr>
          <w:lang w:val="de-DE"/>
        </w:rPr>
        <w:t xml:space="preserve"> weist automatisch </w:t>
      </w:r>
      <w:r w:rsidR="004533BC">
        <w:rPr>
          <w:lang w:val="de-DE"/>
        </w:rPr>
        <w:t>freie</w:t>
      </w:r>
      <w:r w:rsidRPr="00274E1E">
        <w:rPr>
          <w:lang w:val="de-DE"/>
        </w:rPr>
        <w:t xml:space="preserve"> Frequenzen </w:t>
      </w:r>
      <w:r w:rsidR="006C71DF">
        <w:rPr>
          <w:lang w:val="de-DE"/>
        </w:rPr>
        <w:t xml:space="preserve">in einem </w:t>
      </w:r>
      <w:r w:rsidR="00CA79F8" w:rsidRPr="006C71DF">
        <w:rPr>
          <w:lang w:val="de-DE"/>
        </w:rPr>
        <w:t>äquidistante</w:t>
      </w:r>
      <w:r w:rsidR="006C71DF" w:rsidRPr="006C71DF">
        <w:rPr>
          <w:lang w:val="de-DE"/>
        </w:rPr>
        <w:t>n Raster zu</w:t>
      </w:r>
      <w:r w:rsidR="006C71DF">
        <w:rPr>
          <w:lang w:val="de-DE"/>
        </w:rPr>
        <w:t xml:space="preserve">, wodurch </w:t>
      </w:r>
      <w:r w:rsidRPr="00274E1E">
        <w:rPr>
          <w:lang w:val="de-DE"/>
        </w:rPr>
        <w:t>mehr Kanäle in ein</w:t>
      </w:r>
      <w:r w:rsidR="006C71DF">
        <w:rPr>
          <w:lang w:val="de-DE"/>
        </w:rPr>
        <w:t>em</w:t>
      </w:r>
      <w:r w:rsidRPr="00274E1E">
        <w:rPr>
          <w:lang w:val="de-DE"/>
        </w:rPr>
        <w:t xml:space="preserve"> </w:t>
      </w:r>
      <w:r w:rsidR="000B03EF">
        <w:rPr>
          <w:lang w:val="de-DE"/>
        </w:rPr>
        <w:t>gegebenen</w:t>
      </w:r>
      <w:r w:rsidRPr="00274E1E">
        <w:rPr>
          <w:lang w:val="de-DE"/>
        </w:rPr>
        <w:t xml:space="preserve"> Frequenzfenster </w:t>
      </w:r>
      <w:r w:rsidR="006C71DF">
        <w:rPr>
          <w:lang w:val="de-DE"/>
        </w:rPr>
        <w:t>untergebracht werden</w:t>
      </w:r>
      <w:r w:rsidR="006C71DF" w:rsidRPr="006C71DF">
        <w:rPr>
          <w:lang w:val="de-DE"/>
        </w:rPr>
        <w:t xml:space="preserve"> </w:t>
      </w:r>
      <w:r w:rsidR="006C71DF">
        <w:rPr>
          <w:lang w:val="de-DE"/>
        </w:rPr>
        <w:t xml:space="preserve">können. </w:t>
      </w:r>
      <w:r w:rsidRPr="00274E1E">
        <w:rPr>
          <w:lang w:val="de-DE"/>
        </w:rPr>
        <w:t>Die Sender werden bequem über Bluetooth® Low Energy synchronisiert.</w:t>
      </w:r>
    </w:p>
    <w:p w14:paraId="799E2EF0" w14:textId="77777777" w:rsidR="00C97C7C" w:rsidRPr="00274E1E" w:rsidRDefault="00C97C7C" w:rsidP="00844456">
      <w:pPr>
        <w:rPr>
          <w:lang w:val="de-DE"/>
        </w:rPr>
      </w:pPr>
    </w:p>
    <w:p w14:paraId="59FE61D4" w14:textId="77777777" w:rsidR="00C97C7C" w:rsidRPr="00274E1E" w:rsidRDefault="00C97C7C" w:rsidP="00C97C7C">
      <w:pPr>
        <w:rPr>
          <w:b/>
          <w:bCs/>
          <w:lang w:val="de-DE"/>
        </w:rPr>
      </w:pPr>
      <w:r w:rsidRPr="00274E1E">
        <w:rPr>
          <w:b/>
          <w:bCs/>
          <w:lang w:val="de-DE"/>
        </w:rPr>
        <w:t>Zweikanal- und Vierkanal-Empfänger</w:t>
      </w:r>
    </w:p>
    <w:p w14:paraId="09604528" w14:textId="236591FE" w:rsidR="00103124" w:rsidRDefault="006C71DF" w:rsidP="00C97C7C">
      <w:pPr>
        <w:rPr>
          <w:bCs/>
          <w:lang w:val="de-DE"/>
        </w:rPr>
      </w:pPr>
      <w:r>
        <w:rPr>
          <w:bCs/>
          <w:lang w:val="de-DE"/>
        </w:rPr>
        <w:t xml:space="preserve">Ergänzend zum bereits vorhandenen einkanaligen Empfänger bietet </w:t>
      </w:r>
      <w:r w:rsidR="00C97C7C" w:rsidRPr="00274E1E">
        <w:rPr>
          <w:bCs/>
          <w:lang w:val="de-DE"/>
        </w:rPr>
        <w:t xml:space="preserve">EW-DX </w:t>
      </w:r>
      <w:r>
        <w:rPr>
          <w:bCs/>
          <w:lang w:val="de-DE"/>
        </w:rPr>
        <w:t>zwei</w:t>
      </w:r>
      <w:r w:rsidR="00C97C7C" w:rsidRPr="00274E1E">
        <w:rPr>
          <w:bCs/>
          <w:lang w:val="de-DE"/>
        </w:rPr>
        <w:t xml:space="preserve"> Zweikanal-Empfänger </w:t>
      </w:r>
      <w:r>
        <w:rPr>
          <w:bCs/>
          <w:lang w:val="de-DE"/>
        </w:rPr>
        <w:t>(</w:t>
      </w:r>
      <w:r w:rsidR="000B03EF" w:rsidRPr="000B03EF">
        <w:rPr>
          <w:rStyle w:val="Fett"/>
          <w:b w:val="0"/>
          <w:bCs w:val="0"/>
          <w:lang w:val="de-DE"/>
        </w:rPr>
        <w:t>1/2 19”</w:t>
      </w:r>
      <w:r w:rsidR="00C97C7C" w:rsidRPr="000B03EF">
        <w:rPr>
          <w:b/>
          <w:bCs/>
          <w:lang w:val="de-DE"/>
        </w:rPr>
        <w:t>,</w:t>
      </w:r>
      <w:r w:rsidR="00C97C7C" w:rsidRPr="00585CBB">
        <w:rPr>
          <w:bCs/>
          <w:lang w:val="de-DE"/>
        </w:rPr>
        <w:t xml:space="preserve"> </w:t>
      </w:r>
      <w:r w:rsidRPr="00585CBB">
        <w:rPr>
          <w:bCs/>
          <w:lang w:val="de-DE"/>
        </w:rPr>
        <w:t>mit</w:t>
      </w:r>
      <w:r>
        <w:rPr>
          <w:bCs/>
          <w:lang w:val="de-DE"/>
        </w:rPr>
        <w:t xml:space="preserve"> und ohne </w:t>
      </w:r>
      <w:r w:rsidR="00C97C7C" w:rsidRPr="00274E1E">
        <w:rPr>
          <w:bCs/>
          <w:lang w:val="de-DE"/>
        </w:rPr>
        <w:t>Dante</w:t>
      </w:r>
      <w:r>
        <w:rPr>
          <w:bCs/>
          <w:lang w:val="de-DE"/>
        </w:rPr>
        <w:t>)</w:t>
      </w:r>
      <w:r w:rsidR="00C97C7C" w:rsidRPr="00274E1E">
        <w:rPr>
          <w:bCs/>
          <w:lang w:val="de-DE"/>
        </w:rPr>
        <w:t xml:space="preserve"> und einen Vierkanal-Empfänger </w:t>
      </w:r>
      <w:r w:rsidR="00585CBB">
        <w:rPr>
          <w:bCs/>
          <w:lang w:val="de-DE"/>
        </w:rPr>
        <w:t>(</w:t>
      </w:r>
      <w:r w:rsidR="00C97C7C" w:rsidRPr="00274E1E">
        <w:rPr>
          <w:bCs/>
          <w:lang w:val="de-DE"/>
        </w:rPr>
        <w:t>19</w:t>
      </w:r>
      <w:r w:rsidR="00585CBB">
        <w:rPr>
          <w:bCs/>
          <w:lang w:val="de-DE"/>
        </w:rPr>
        <w:t>”, mit Dante) an</w:t>
      </w:r>
      <w:r w:rsidR="00C97C7C" w:rsidRPr="00274E1E">
        <w:rPr>
          <w:bCs/>
          <w:lang w:val="de-DE"/>
        </w:rPr>
        <w:t xml:space="preserve">. Die </w:t>
      </w:r>
      <w:r w:rsidR="00585CBB">
        <w:rPr>
          <w:bCs/>
          <w:lang w:val="de-DE"/>
        </w:rPr>
        <w:t xml:space="preserve">beiden </w:t>
      </w:r>
      <w:r w:rsidR="00C97C7C" w:rsidRPr="00274E1E">
        <w:rPr>
          <w:bCs/>
          <w:lang w:val="de-DE"/>
        </w:rPr>
        <w:t>Dante-Versionen bieten verschiedene Netzwerkmodi zur flexiblen Integration in bestehende Workflows. Die Empfänger verfügen über eine</w:t>
      </w:r>
      <w:r>
        <w:rPr>
          <w:bCs/>
          <w:lang w:val="de-DE"/>
        </w:rPr>
        <w:t xml:space="preserve"> S</w:t>
      </w:r>
      <w:r w:rsidRPr="006C71DF">
        <w:rPr>
          <w:bCs/>
          <w:lang w:val="de-DE"/>
        </w:rPr>
        <w:t>chaltb</w:t>
      </w:r>
      <w:r w:rsidR="00DC3FA1" w:rsidRPr="006C71DF">
        <w:rPr>
          <w:bCs/>
          <w:lang w:val="de-DE"/>
        </w:rPr>
        <w:t>andbreite</w:t>
      </w:r>
      <w:r w:rsidR="00DC3FA1" w:rsidRPr="00274E1E">
        <w:rPr>
          <w:bCs/>
          <w:lang w:val="de-DE"/>
        </w:rPr>
        <w:t xml:space="preserve"> </w:t>
      </w:r>
      <w:r w:rsidR="00C97C7C" w:rsidRPr="00274E1E">
        <w:rPr>
          <w:bCs/>
          <w:lang w:val="de-DE"/>
        </w:rPr>
        <w:t xml:space="preserve">von bis zu 88 MHz, was </w:t>
      </w:r>
      <w:r w:rsidR="00F526DE">
        <w:rPr>
          <w:bCs/>
          <w:lang w:val="de-DE"/>
        </w:rPr>
        <w:t xml:space="preserve">dank </w:t>
      </w:r>
      <w:r w:rsidR="00C97C7C" w:rsidRPr="006C71DF">
        <w:rPr>
          <w:bCs/>
          <w:lang w:val="de-DE"/>
        </w:rPr>
        <w:t xml:space="preserve">äquidistantem </w:t>
      </w:r>
      <w:r w:rsidRPr="006C71DF">
        <w:rPr>
          <w:bCs/>
          <w:lang w:val="de-DE"/>
        </w:rPr>
        <w:t>Frequenzraster</w:t>
      </w:r>
      <w:r w:rsidR="00F526DE">
        <w:rPr>
          <w:bCs/>
          <w:lang w:val="de-DE"/>
        </w:rPr>
        <w:t xml:space="preserve"> bis </w:t>
      </w:r>
      <w:r w:rsidR="00C97C7C" w:rsidRPr="00274E1E">
        <w:rPr>
          <w:bCs/>
          <w:lang w:val="de-DE"/>
        </w:rPr>
        <w:t xml:space="preserve">zu 146 Kanäle im Standardmodus und bis zu 293 </w:t>
      </w:r>
      <w:r w:rsidR="00C97C7C" w:rsidRPr="00585CBB">
        <w:rPr>
          <w:bCs/>
          <w:lang w:val="de-DE"/>
        </w:rPr>
        <w:t>im Link-Density-Modus bedeutet</w:t>
      </w:r>
      <w:r w:rsidR="00C97C7C" w:rsidRPr="00274E1E">
        <w:rPr>
          <w:bCs/>
          <w:lang w:val="de-DE"/>
        </w:rPr>
        <w:t>.</w:t>
      </w:r>
    </w:p>
    <w:p w14:paraId="15E943AB" w14:textId="77777777" w:rsidR="008E0C84" w:rsidRPr="00274E1E" w:rsidRDefault="008E0C84" w:rsidP="00C97C7C">
      <w:pPr>
        <w:rPr>
          <w:lang w:val="de-DE"/>
        </w:rPr>
      </w:pPr>
    </w:p>
    <w:p w14:paraId="55EB08D0" w14:textId="7FF62AEC" w:rsidR="00B5300F" w:rsidRPr="00274E1E" w:rsidRDefault="00B5300F" w:rsidP="00B0747D">
      <w:pPr>
        <w:jc w:val="center"/>
        <w:rPr>
          <w:lang w:val="de-DE"/>
        </w:rPr>
      </w:pPr>
      <w:r w:rsidRPr="00274E1E">
        <w:rPr>
          <w:noProof/>
          <w:lang w:val="de-DE" w:eastAsia="de-DE"/>
        </w:rPr>
        <w:drawing>
          <wp:inline distT="0" distB="0" distL="0" distR="0" wp14:anchorId="21D9A542" wp14:editId="48E68FE8">
            <wp:extent cx="4945712" cy="46039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030705" cy="468303"/>
                    </a:xfrm>
                    <a:prstGeom prst="rect">
                      <a:avLst/>
                    </a:prstGeom>
                  </pic:spPr>
                </pic:pic>
              </a:graphicData>
            </a:graphic>
          </wp:inline>
        </w:drawing>
      </w:r>
    </w:p>
    <w:p w14:paraId="74A2A196" w14:textId="5030678B" w:rsidR="00B5300F" w:rsidRPr="00274E1E" w:rsidRDefault="00B0747D" w:rsidP="00B0747D">
      <w:pPr>
        <w:jc w:val="center"/>
        <w:rPr>
          <w:lang w:val="de-DE"/>
        </w:rPr>
      </w:pPr>
      <w:r w:rsidRPr="00274E1E">
        <w:rPr>
          <w:noProof/>
          <w:lang w:val="de-DE" w:eastAsia="de-DE"/>
        </w:rPr>
        <w:drawing>
          <wp:inline distT="0" distB="0" distL="0" distR="0" wp14:anchorId="6C0126AC" wp14:editId="01C1C06B">
            <wp:extent cx="4508390" cy="45147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4746614" cy="475331"/>
                    </a:xfrm>
                    <a:prstGeom prst="rect">
                      <a:avLst/>
                    </a:prstGeom>
                  </pic:spPr>
                </pic:pic>
              </a:graphicData>
            </a:graphic>
          </wp:inline>
        </w:drawing>
      </w:r>
    </w:p>
    <w:p w14:paraId="2F6631FA" w14:textId="347DBAF1" w:rsidR="00B0747D" w:rsidRPr="00274E1E" w:rsidRDefault="00C97C7C" w:rsidP="00844456">
      <w:pPr>
        <w:rPr>
          <w:lang w:val="de-DE"/>
        </w:rPr>
      </w:pPr>
      <w:r w:rsidRPr="00274E1E">
        <w:rPr>
          <w:sz w:val="15"/>
          <w:lang w:val="de-DE"/>
        </w:rPr>
        <w:t>Vorder- und Rückseite des EW-DX Vierkanalempfängers</w:t>
      </w:r>
    </w:p>
    <w:p w14:paraId="5EE56176" w14:textId="77777777" w:rsidR="00965E1F" w:rsidRPr="00274E1E" w:rsidRDefault="00965E1F" w:rsidP="00844456">
      <w:pPr>
        <w:rPr>
          <w:lang w:val="de-DE"/>
        </w:rPr>
      </w:pPr>
    </w:p>
    <w:p w14:paraId="35613002" w14:textId="5356B2CC" w:rsidR="00C97C7C" w:rsidRPr="00274E1E" w:rsidRDefault="00082642" w:rsidP="00C97C7C">
      <w:pPr>
        <w:rPr>
          <w:b/>
          <w:bCs/>
          <w:lang w:val="de-DE"/>
        </w:rPr>
      </w:pPr>
      <w:r>
        <w:rPr>
          <w:b/>
          <w:bCs/>
          <w:lang w:val="de-DE"/>
        </w:rPr>
        <w:t>E-I</w:t>
      </w:r>
      <w:r w:rsidR="00225EDC">
        <w:rPr>
          <w:b/>
          <w:bCs/>
          <w:lang w:val="de-DE"/>
        </w:rPr>
        <w:t>nk und programmierbarer</w:t>
      </w:r>
      <w:r w:rsidR="00C97C7C" w:rsidRPr="00274E1E">
        <w:rPr>
          <w:b/>
          <w:bCs/>
          <w:lang w:val="de-DE"/>
        </w:rPr>
        <w:t xml:space="preserve"> </w:t>
      </w:r>
      <w:r w:rsidR="00585CBB">
        <w:rPr>
          <w:b/>
          <w:bCs/>
          <w:lang w:val="de-DE"/>
        </w:rPr>
        <w:t>Mute-Sc</w:t>
      </w:r>
      <w:r w:rsidR="00C97C7C" w:rsidRPr="00274E1E">
        <w:rPr>
          <w:b/>
          <w:bCs/>
          <w:lang w:val="de-DE"/>
        </w:rPr>
        <w:t>halter: Die EW-DX-Sender</w:t>
      </w:r>
    </w:p>
    <w:p w14:paraId="5BA9FC71" w14:textId="0AA56A2E" w:rsidR="00965E1F" w:rsidRPr="00274E1E" w:rsidRDefault="00C97C7C" w:rsidP="00C97C7C">
      <w:pPr>
        <w:rPr>
          <w:bCs/>
          <w:lang w:val="de-DE"/>
        </w:rPr>
      </w:pPr>
      <w:r w:rsidRPr="00274E1E">
        <w:rPr>
          <w:bCs/>
          <w:lang w:val="de-DE"/>
        </w:rPr>
        <w:t xml:space="preserve">EW-DX bietet </w:t>
      </w:r>
      <w:r w:rsidR="00585CBB">
        <w:rPr>
          <w:bCs/>
          <w:lang w:val="de-DE"/>
        </w:rPr>
        <w:t xml:space="preserve">insgesamt sechs Sender an: </w:t>
      </w:r>
      <w:r w:rsidRPr="00585CBB">
        <w:rPr>
          <w:bCs/>
          <w:lang w:val="de-DE"/>
        </w:rPr>
        <w:t>zwei Taschensender, zwei Handsender und</w:t>
      </w:r>
      <w:r w:rsidRPr="00274E1E">
        <w:rPr>
          <w:bCs/>
          <w:lang w:val="de-DE"/>
        </w:rPr>
        <w:t xml:space="preserve"> zwei </w:t>
      </w:r>
      <w:r w:rsidR="00585CBB">
        <w:rPr>
          <w:bCs/>
          <w:lang w:val="de-DE"/>
        </w:rPr>
        <w:t>drahtlose Tischfüße</w:t>
      </w:r>
      <w:r w:rsidRPr="00274E1E">
        <w:rPr>
          <w:bCs/>
          <w:lang w:val="de-DE"/>
        </w:rPr>
        <w:t xml:space="preserve">. </w:t>
      </w:r>
      <w:r w:rsidR="00585CBB">
        <w:rPr>
          <w:bCs/>
          <w:lang w:val="de-DE"/>
        </w:rPr>
        <w:t>Mit</w:t>
      </w:r>
      <w:r w:rsidRPr="00274E1E">
        <w:rPr>
          <w:bCs/>
          <w:lang w:val="de-DE"/>
        </w:rPr>
        <w:t xml:space="preserve"> </w:t>
      </w:r>
      <w:r w:rsidR="00585CBB" w:rsidRPr="00274E1E">
        <w:rPr>
          <w:bCs/>
          <w:lang w:val="de-DE"/>
        </w:rPr>
        <w:t xml:space="preserve">10 mW </w:t>
      </w:r>
      <w:r w:rsidRPr="00274E1E">
        <w:rPr>
          <w:bCs/>
          <w:lang w:val="de-DE"/>
        </w:rPr>
        <w:t xml:space="preserve">Ausgangsleistung </w:t>
      </w:r>
      <w:r w:rsidR="00585CBB">
        <w:rPr>
          <w:bCs/>
          <w:lang w:val="de-DE"/>
        </w:rPr>
        <w:t xml:space="preserve">wird </w:t>
      </w:r>
      <w:r w:rsidRPr="00274E1E">
        <w:rPr>
          <w:bCs/>
          <w:lang w:val="de-DE"/>
        </w:rPr>
        <w:t>eine Reichweite von bis zu 100 Metern</w:t>
      </w:r>
      <w:r w:rsidR="00585CBB">
        <w:rPr>
          <w:bCs/>
          <w:lang w:val="de-DE"/>
        </w:rPr>
        <w:t xml:space="preserve"> </w:t>
      </w:r>
      <w:r w:rsidR="0030623F">
        <w:rPr>
          <w:bCs/>
          <w:lang w:val="de-DE"/>
        </w:rPr>
        <w:t>erreicht</w:t>
      </w:r>
      <w:r w:rsidRPr="00274E1E">
        <w:rPr>
          <w:bCs/>
          <w:lang w:val="de-DE"/>
        </w:rPr>
        <w:t xml:space="preserve">. Alle Geräte verfügen über den gleichen weiten </w:t>
      </w:r>
      <w:r w:rsidRPr="00751E86">
        <w:rPr>
          <w:bCs/>
          <w:lang w:val="de-DE"/>
        </w:rPr>
        <w:t>Eingangsdynamikbereich</w:t>
      </w:r>
      <w:r w:rsidRPr="00274E1E">
        <w:rPr>
          <w:bCs/>
          <w:lang w:val="de-DE"/>
        </w:rPr>
        <w:t xml:space="preserve"> wie die bestehenden EW-D-Modelle</w:t>
      </w:r>
      <w:r w:rsidR="00524530">
        <w:rPr>
          <w:bCs/>
          <w:lang w:val="de-DE"/>
        </w:rPr>
        <w:t xml:space="preserve">. Die </w:t>
      </w:r>
      <w:r w:rsidRPr="00274E1E">
        <w:rPr>
          <w:bCs/>
          <w:lang w:val="de-DE"/>
        </w:rPr>
        <w:t xml:space="preserve">Hand- und Taschensender </w:t>
      </w:r>
      <w:r w:rsidR="00524530">
        <w:rPr>
          <w:bCs/>
          <w:lang w:val="de-DE"/>
        </w:rPr>
        <w:t xml:space="preserve">sind </w:t>
      </w:r>
      <w:r w:rsidR="00524530" w:rsidRPr="00274E1E">
        <w:rPr>
          <w:bCs/>
          <w:lang w:val="de-DE"/>
        </w:rPr>
        <w:t>zusätzlich</w:t>
      </w:r>
      <w:r w:rsidR="00524530">
        <w:rPr>
          <w:bCs/>
          <w:lang w:val="de-DE"/>
        </w:rPr>
        <w:t xml:space="preserve"> mit einem </w:t>
      </w:r>
      <w:r w:rsidR="00751E86">
        <w:rPr>
          <w:bCs/>
          <w:lang w:val="de-DE"/>
        </w:rPr>
        <w:t xml:space="preserve">Trimmer </w:t>
      </w:r>
      <w:r w:rsidR="00524530">
        <w:rPr>
          <w:bCs/>
          <w:lang w:val="de-DE"/>
        </w:rPr>
        <w:t>ausgestattet, um Sender anzupassen, die auf dem</w:t>
      </w:r>
      <w:r w:rsidRPr="00274E1E">
        <w:rPr>
          <w:bCs/>
          <w:lang w:val="de-DE"/>
        </w:rPr>
        <w:t>selben Empf</w:t>
      </w:r>
      <w:r w:rsidR="0030623F">
        <w:rPr>
          <w:bCs/>
          <w:lang w:val="de-DE"/>
        </w:rPr>
        <w:t>angs</w:t>
      </w:r>
      <w:r w:rsidRPr="00274E1E">
        <w:rPr>
          <w:bCs/>
          <w:lang w:val="de-DE"/>
        </w:rPr>
        <w:t xml:space="preserve">kanal betrieben werden, </w:t>
      </w:r>
      <w:r w:rsidR="00524530">
        <w:rPr>
          <w:bCs/>
          <w:lang w:val="de-DE"/>
        </w:rPr>
        <w:t xml:space="preserve">beispielsweise </w:t>
      </w:r>
      <w:r w:rsidRPr="00274E1E">
        <w:rPr>
          <w:bCs/>
          <w:lang w:val="de-DE"/>
        </w:rPr>
        <w:t>wenn mehrere Gitarren verwendet werden.</w:t>
      </w:r>
    </w:p>
    <w:p w14:paraId="5210C7F7" w14:textId="77777777" w:rsidR="00C97C7C" w:rsidRPr="00274E1E" w:rsidRDefault="00C97C7C" w:rsidP="00C97C7C">
      <w:pPr>
        <w:rPr>
          <w:lang w:val="de-DE"/>
        </w:rPr>
      </w:pPr>
    </w:p>
    <w:p w14:paraId="1952E337" w14:textId="4D93A71C" w:rsidR="00965E1F" w:rsidRPr="00274E1E" w:rsidRDefault="00590910" w:rsidP="00965E1F">
      <w:pPr>
        <w:rPr>
          <w:lang w:val="de-DE"/>
        </w:rPr>
      </w:pPr>
      <w:r w:rsidRPr="00274E1E">
        <w:rPr>
          <w:lang w:val="de-DE"/>
        </w:rPr>
        <w:t>Die Hand- und Taschensender werden die ersten auf dem Markt sein, die über E-Ink-Displays verfügen.</w:t>
      </w:r>
      <w:r w:rsidR="00524530">
        <w:rPr>
          <w:lang w:val="de-DE"/>
        </w:rPr>
        <w:t xml:space="preserve"> Damit können </w:t>
      </w:r>
      <w:r w:rsidR="00524530" w:rsidRPr="00274E1E">
        <w:rPr>
          <w:lang w:val="de-DE"/>
        </w:rPr>
        <w:t>Nutzer alle wichtigen Gerätedaten ablesen</w:t>
      </w:r>
      <w:r w:rsidR="00524530">
        <w:rPr>
          <w:lang w:val="de-DE"/>
        </w:rPr>
        <w:t>, a</w:t>
      </w:r>
      <w:r w:rsidRPr="00274E1E">
        <w:rPr>
          <w:lang w:val="de-DE"/>
        </w:rPr>
        <w:t xml:space="preserve">uch wenn </w:t>
      </w:r>
      <w:r w:rsidR="00F010E6">
        <w:rPr>
          <w:lang w:val="de-DE"/>
        </w:rPr>
        <w:t>der</w:t>
      </w:r>
      <w:r w:rsidRPr="00274E1E">
        <w:rPr>
          <w:lang w:val="de-DE"/>
        </w:rPr>
        <w:t xml:space="preserve"> Sender ausgeschaltet ist. Beide Sendertypen </w:t>
      </w:r>
      <w:r w:rsidR="00F010E6">
        <w:rPr>
          <w:lang w:val="de-DE"/>
        </w:rPr>
        <w:t xml:space="preserve">werden mit </w:t>
      </w:r>
      <w:r w:rsidRPr="00274E1E">
        <w:rPr>
          <w:lang w:val="de-DE"/>
        </w:rPr>
        <w:t>Ladekontakten ausgestattet</w:t>
      </w:r>
      <w:r w:rsidR="00F010E6">
        <w:rPr>
          <w:lang w:val="de-DE"/>
        </w:rPr>
        <w:t xml:space="preserve"> sein, um die Akkus direkt im Sender zu laden; d</w:t>
      </w:r>
      <w:r w:rsidR="00524530">
        <w:rPr>
          <w:lang w:val="de-DE"/>
        </w:rPr>
        <w:t>er z</w:t>
      </w:r>
      <w:r w:rsidRPr="00274E1E">
        <w:rPr>
          <w:lang w:val="de-DE"/>
        </w:rPr>
        <w:t xml:space="preserve">ugehörige BA-Akkupack </w:t>
      </w:r>
      <w:r w:rsidR="00A23BAF">
        <w:rPr>
          <w:lang w:val="de-DE"/>
        </w:rPr>
        <w:t>biete</w:t>
      </w:r>
      <w:r w:rsidR="00524530">
        <w:rPr>
          <w:lang w:val="de-DE"/>
        </w:rPr>
        <w:t>t</w:t>
      </w:r>
      <w:r w:rsidR="00F010E6">
        <w:rPr>
          <w:lang w:val="de-DE"/>
        </w:rPr>
        <w:t xml:space="preserve"> dabei</w:t>
      </w:r>
      <w:r w:rsidRPr="00274E1E">
        <w:rPr>
          <w:lang w:val="de-DE"/>
        </w:rPr>
        <w:t xml:space="preserve"> eine Betriebszeit von etwa 12 Stunden.</w:t>
      </w:r>
    </w:p>
    <w:p w14:paraId="23E8C07A" w14:textId="77777777" w:rsidR="00590910" w:rsidRPr="00274E1E" w:rsidRDefault="00590910" w:rsidP="00965E1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43"/>
        <w:gridCol w:w="6027"/>
      </w:tblGrid>
      <w:tr w:rsidR="004F3C0D" w:rsidRPr="006D0E16" w14:paraId="01D5B0A0" w14:textId="77777777" w:rsidTr="00A44395">
        <w:tc>
          <w:tcPr>
            <w:tcW w:w="1843" w:type="dxa"/>
          </w:tcPr>
          <w:p w14:paraId="2A8EB632" w14:textId="673CE4AA" w:rsidR="004F3C0D" w:rsidRPr="00274E1E" w:rsidRDefault="00A44395" w:rsidP="00A44395">
            <w:pPr>
              <w:pStyle w:val="Beschriftung"/>
              <w:rPr>
                <w:lang w:val="de-DE"/>
              </w:rPr>
            </w:pPr>
            <w:r w:rsidRPr="00274E1E">
              <w:rPr>
                <w:noProof/>
                <w:lang w:val="de-DE" w:eastAsia="de-DE"/>
              </w:rPr>
              <w:drawing>
                <wp:inline distT="0" distB="0" distL="0" distR="0" wp14:anchorId="4EB6D772" wp14:editId="30F062BF">
                  <wp:extent cx="977803" cy="2567635"/>
                  <wp:effectExtent l="0" t="0" r="0" b="444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5"/>
                          <a:stretch>
                            <a:fillRect/>
                          </a:stretch>
                        </pic:blipFill>
                        <pic:spPr>
                          <a:xfrm>
                            <a:off x="0" y="0"/>
                            <a:ext cx="995228" cy="2613391"/>
                          </a:xfrm>
                          <a:prstGeom prst="rect">
                            <a:avLst/>
                          </a:prstGeom>
                        </pic:spPr>
                      </pic:pic>
                    </a:graphicData>
                  </a:graphic>
                </wp:inline>
              </w:drawing>
            </w:r>
          </w:p>
        </w:tc>
        <w:tc>
          <w:tcPr>
            <w:tcW w:w="6027" w:type="dxa"/>
          </w:tcPr>
          <w:p w14:paraId="3FF05410" w14:textId="1A885856" w:rsidR="004F3C0D" w:rsidRPr="00751E86" w:rsidRDefault="00590910" w:rsidP="00A44395">
            <w:pPr>
              <w:pStyle w:val="Beschriftung"/>
              <w:rPr>
                <w:lang w:val="de-DE"/>
              </w:rPr>
            </w:pPr>
            <w:r w:rsidRPr="00751E86">
              <w:rPr>
                <w:lang w:val="de-DE"/>
              </w:rPr>
              <w:t>Der Taschen</w:t>
            </w:r>
            <w:r w:rsidR="00524530">
              <w:rPr>
                <w:lang w:val="de-DE"/>
              </w:rPr>
              <w:t xml:space="preserve">sender </w:t>
            </w:r>
            <w:r w:rsidRPr="00751E86">
              <w:rPr>
                <w:lang w:val="de-DE"/>
              </w:rPr>
              <w:t>wird mit eine</w:t>
            </w:r>
            <w:r w:rsidR="00524530">
              <w:rPr>
                <w:lang w:val="de-DE"/>
              </w:rPr>
              <w:t>r</w:t>
            </w:r>
            <w:r w:rsidRPr="00751E86">
              <w:rPr>
                <w:lang w:val="de-DE"/>
              </w:rPr>
              <w:t xml:space="preserve"> 3-poligen</w:t>
            </w:r>
            <w:r w:rsidR="00524530">
              <w:rPr>
                <w:lang w:val="de-DE"/>
              </w:rPr>
              <w:t xml:space="preserve"> Buchse</w:t>
            </w:r>
            <w:r w:rsidRPr="00751E86">
              <w:rPr>
                <w:lang w:val="de-DE"/>
              </w:rPr>
              <w:t xml:space="preserve"> oder einem 3</w:t>
            </w:r>
            <w:r w:rsidR="00524530">
              <w:rPr>
                <w:lang w:val="de-DE"/>
              </w:rPr>
              <w:t>,</w:t>
            </w:r>
            <w:r w:rsidRPr="00751E86">
              <w:rPr>
                <w:lang w:val="de-DE"/>
              </w:rPr>
              <w:t>5</w:t>
            </w:r>
            <w:r w:rsidR="00524530">
              <w:rPr>
                <w:lang w:val="de-DE"/>
              </w:rPr>
              <w:t>-</w:t>
            </w:r>
            <w:r w:rsidRPr="00751E86">
              <w:rPr>
                <w:lang w:val="de-DE"/>
              </w:rPr>
              <w:t>mm</w:t>
            </w:r>
            <w:r w:rsidR="00524530">
              <w:rPr>
                <w:lang w:val="de-DE"/>
              </w:rPr>
              <w:t>-</w:t>
            </w:r>
            <w:r w:rsidRPr="00751E86">
              <w:rPr>
                <w:lang w:val="de-DE"/>
              </w:rPr>
              <w:t>Klinkenanschluss erhältlich sein</w:t>
            </w:r>
          </w:p>
        </w:tc>
      </w:tr>
    </w:tbl>
    <w:p w14:paraId="5305622A" w14:textId="00E5D767" w:rsidR="004F3C0D" w:rsidRPr="00274E1E" w:rsidRDefault="004F3C0D" w:rsidP="00844456">
      <w:pPr>
        <w:rPr>
          <w:lang w:val="de-DE"/>
        </w:rPr>
      </w:pPr>
    </w:p>
    <w:p w14:paraId="35828E11" w14:textId="7839D7B2" w:rsidR="0016751B" w:rsidRPr="00274E1E" w:rsidRDefault="004F08EC" w:rsidP="0016751B">
      <w:pPr>
        <w:rPr>
          <w:lang w:val="de-DE"/>
        </w:rPr>
      </w:pPr>
      <w:r>
        <w:rPr>
          <w:lang w:val="de-DE"/>
        </w:rPr>
        <w:t>Der Taschen</w:t>
      </w:r>
      <w:r w:rsidR="00B53FC7">
        <w:rPr>
          <w:lang w:val="de-DE"/>
        </w:rPr>
        <w:t>sender</w:t>
      </w:r>
      <w:r>
        <w:rPr>
          <w:lang w:val="de-DE"/>
        </w:rPr>
        <w:t xml:space="preserve"> </w:t>
      </w:r>
      <w:r w:rsidR="00F010E6">
        <w:rPr>
          <w:lang w:val="de-DE"/>
        </w:rPr>
        <w:t xml:space="preserve">wird </w:t>
      </w:r>
      <w:r>
        <w:rPr>
          <w:lang w:val="de-DE"/>
        </w:rPr>
        <w:t xml:space="preserve">mit </w:t>
      </w:r>
      <w:r w:rsidRPr="00F010E6">
        <w:rPr>
          <w:lang w:val="de-DE"/>
        </w:rPr>
        <w:t>eine</w:t>
      </w:r>
      <w:r w:rsidR="00F010E6">
        <w:rPr>
          <w:lang w:val="de-DE"/>
        </w:rPr>
        <w:t>r</w:t>
      </w:r>
      <w:r w:rsidRPr="00F010E6">
        <w:rPr>
          <w:lang w:val="de-DE"/>
        </w:rPr>
        <w:t xml:space="preserve"> 3-poligen </w:t>
      </w:r>
      <w:r w:rsidR="00F010E6" w:rsidRPr="00F010E6">
        <w:rPr>
          <w:lang w:val="de-DE"/>
        </w:rPr>
        <w:t xml:space="preserve">Buchse oder </w:t>
      </w:r>
      <w:r w:rsidR="00590910" w:rsidRPr="00F010E6">
        <w:rPr>
          <w:lang w:val="de-DE"/>
        </w:rPr>
        <w:t>einem 3,5</w:t>
      </w:r>
      <w:r w:rsidR="00F010E6" w:rsidRPr="00F010E6">
        <w:rPr>
          <w:lang w:val="de-DE"/>
        </w:rPr>
        <w:t>-mm-</w:t>
      </w:r>
      <w:r w:rsidR="00590910" w:rsidRPr="00F010E6">
        <w:rPr>
          <w:lang w:val="de-DE"/>
        </w:rPr>
        <w:t>Klinken</w:t>
      </w:r>
      <w:r w:rsidR="0030623F">
        <w:rPr>
          <w:lang w:val="de-DE"/>
        </w:rPr>
        <w:t>a</w:t>
      </w:r>
      <w:r w:rsidR="00590910" w:rsidRPr="00F010E6">
        <w:rPr>
          <w:lang w:val="de-DE"/>
        </w:rPr>
        <w:t>nschluss</w:t>
      </w:r>
      <w:r w:rsidR="00B30283" w:rsidRPr="00F010E6">
        <w:rPr>
          <w:lang w:val="de-DE"/>
        </w:rPr>
        <w:t xml:space="preserve"> erhältlich</w:t>
      </w:r>
      <w:r w:rsidR="00B30283">
        <w:rPr>
          <w:lang w:val="de-DE"/>
        </w:rPr>
        <w:t xml:space="preserve"> sein, so</w:t>
      </w:r>
      <w:r w:rsidR="00590910" w:rsidRPr="00274E1E">
        <w:rPr>
          <w:lang w:val="de-DE"/>
        </w:rPr>
        <w:t>dass e</w:t>
      </w:r>
      <w:r w:rsidR="00F010E6">
        <w:rPr>
          <w:lang w:val="de-DE"/>
        </w:rPr>
        <w:t>r</w:t>
      </w:r>
      <w:r w:rsidR="00590910" w:rsidRPr="00274E1E">
        <w:rPr>
          <w:lang w:val="de-DE"/>
        </w:rPr>
        <w:t xml:space="preserve"> mit allen digitaltauglichen Sennheiser-Ansteck- und Headset-Mikrofonen, </w:t>
      </w:r>
      <w:r w:rsidR="00F010E6">
        <w:rPr>
          <w:lang w:val="de-DE"/>
        </w:rPr>
        <w:t xml:space="preserve">mit dem </w:t>
      </w:r>
      <w:r w:rsidR="00590910" w:rsidRPr="00274E1E">
        <w:rPr>
          <w:lang w:val="de-DE"/>
        </w:rPr>
        <w:t>Neumann</w:t>
      </w:r>
      <w:r w:rsidR="00F010E6">
        <w:rPr>
          <w:lang w:val="de-DE"/>
        </w:rPr>
        <w:t xml:space="preserve"> Miniature Clip Mic System</w:t>
      </w:r>
      <w:r w:rsidR="00590910" w:rsidRPr="00274E1E">
        <w:rPr>
          <w:lang w:val="de-DE"/>
        </w:rPr>
        <w:t xml:space="preserve"> sowie Instrumentenkabel verwendet werden kann. Der Taschensender ist mit einem programmierbaren Mute-Schalter </w:t>
      </w:r>
      <w:r w:rsidR="00590910" w:rsidRPr="00F010E6">
        <w:rPr>
          <w:lang w:val="de-DE"/>
        </w:rPr>
        <w:t>ausgestattet und bietet eine Kabel-Emulation für</w:t>
      </w:r>
      <w:r w:rsidR="00590910" w:rsidRPr="00274E1E">
        <w:rPr>
          <w:lang w:val="de-DE"/>
        </w:rPr>
        <w:t xml:space="preserve"> Gitarristen und Bassisten.</w:t>
      </w:r>
    </w:p>
    <w:p w14:paraId="55CCED39" w14:textId="77777777" w:rsidR="00590910" w:rsidRPr="00274E1E" w:rsidRDefault="00590910" w:rsidP="0016751B">
      <w:pPr>
        <w:rPr>
          <w:lang w:val="de-DE"/>
        </w:rPr>
      </w:pPr>
    </w:p>
    <w:p w14:paraId="0890D17F" w14:textId="3B5F7B0D" w:rsidR="005C21BD" w:rsidRPr="00274E1E" w:rsidRDefault="00590910" w:rsidP="00844456">
      <w:pPr>
        <w:rPr>
          <w:lang w:val="de-DE"/>
        </w:rPr>
      </w:pPr>
      <w:r w:rsidRPr="00274E1E">
        <w:rPr>
          <w:lang w:val="de-DE"/>
        </w:rPr>
        <w:t xml:space="preserve">Auch der Handsender wird in zwei Versionen erhältlich sein, </w:t>
      </w:r>
      <w:r w:rsidR="00F010E6">
        <w:rPr>
          <w:lang w:val="de-DE"/>
        </w:rPr>
        <w:t>mit und ohne</w:t>
      </w:r>
      <w:r w:rsidRPr="00274E1E">
        <w:rPr>
          <w:lang w:val="de-DE"/>
        </w:rPr>
        <w:t xml:space="preserve"> programmierbarem Mute-Schalter (</w:t>
      </w:r>
      <w:r w:rsidR="00F010E6">
        <w:rPr>
          <w:lang w:val="de-DE"/>
        </w:rPr>
        <w:t>H</w:t>
      </w:r>
      <w:r w:rsidRPr="00274E1E">
        <w:rPr>
          <w:lang w:val="de-DE"/>
        </w:rPr>
        <w:t xml:space="preserve">F-Mute, AF-Mute, keine Funktion). </w:t>
      </w:r>
      <w:r w:rsidR="0030623F">
        <w:rPr>
          <w:lang w:val="de-DE"/>
        </w:rPr>
        <w:t>Dank</w:t>
      </w:r>
      <w:r w:rsidR="00F010E6" w:rsidRPr="00F010E6">
        <w:rPr>
          <w:lang w:val="de-DE"/>
        </w:rPr>
        <w:t xml:space="preserve"> dem </w:t>
      </w:r>
      <w:r w:rsidRPr="00F010E6">
        <w:rPr>
          <w:lang w:val="de-DE"/>
        </w:rPr>
        <w:t>Sennheiser-Standard</w:t>
      </w:r>
      <w:r w:rsidR="00F010E6" w:rsidRPr="00F010E6">
        <w:rPr>
          <w:lang w:val="de-DE"/>
        </w:rPr>
        <w:t>-Kapsel-</w:t>
      </w:r>
      <w:r w:rsidR="00F010E6" w:rsidRPr="00F010E6">
        <w:rPr>
          <w:lang w:val="de-DE"/>
        </w:rPr>
        <w:lastRenderedPageBreak/>
        <w:t xml:space="preserve">Interface </w:t>
      </w:r>
      <w:r w:rsidRPr="00274E1E">
        <w:rPr>
          <w:lang w:val="de-DE"/>
        </w:rPr>
        <w:t xml:space="preserve">kann </w:t>
      </w:r>
      <w:r w:rsidR="00F010E6">
        <w:rPr>
          <w:lang w:val="de-DE"/>
        </w:rPr>
        <w:t>der Sender mit</w:t>
      </w:r>
      <w:r w:rsidRPr="00274E1E">
        <w:rPr>
          <w:lang w:val="de-DE"/>
        </w:rPr>
        <w:t xml:space="preserve"> 14 </w:t>
      </w:r>
      <w:r w:rsidR="0030623F">
        <w:rPr>
          <w:lang w:val="de-DE"/>
        </w:rPr>
        <w:t xml:space="preserve">verschiedenen </w:t>
      </w:r>
      <w:r w:rsidRPr="00274E1E">
        <w:rPr>
          <w:lang w:val="de-DE"/>
        </w:rPr>
        <w:t>Sennheiser- und Neumann-Mikrofonköpfen verwendet werden.</w:t>
      </w:r>
    </w:p>
    <w:p w14:paraId="46D723A4" w14:textId="77777777" w:rsidR="00590910" w:rsidRPr="00274E1E" w:rsidRDefault="00590910" w:rsidP="0084445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87"/>
        <w:gridCol w:w="6093"/>
      </w:tblGrid>
      <w:tr w:rsidR="000B4F19" w:rsidRPr="00274E1E" w14:paraId="635ADED5" w14:textId="77777777" w:rsidTr="6AD2C725">
        <w:tc>
          <w:tcPr>
            <w:tcW w:w="2300" w:type="dxa"/>
          </w:tcPr>
          <w:p w14:paraId="325CFF1B" w14:textId="400A4624" w:rsidR="000B4F19" w:rsidRPr="00274E1E" w:rsidRDefault="00590910" w:rsidP="00DD2B51">
            <w:pPr>
              <w:pStyle w:val="Beschriftung"/>
              <w:rPr>
                <w:lang w:val="de-DE"/>
              </w:rPr>
            </w:pPr>
            <w:r w:rsidRPr="00274E1E">
              <w:rPr>
                <w:lang w:val="de-DE"/>
              </w:rPr>
              <w:t>D</w:t>
            </w:r>
            <w:r w:rsidR="00DD2B51">
              <w:rPr>
                <w:lang w:val="de-DE"/>
              </w:rPr>
              <w:t>er Handsender mit E-Ink-Display ist mit</w:t>
            </w:r>
            <w:r w:rsidRPr="00274E1E">
              <w:rPr>
                <w:lang w:val="de-DE"/>
              </w:rPr>
              <w:t xml:space="preserve"> </w:t>
            </w:r>
            <w:r w:rsidR="0030623F">
              <w:rPr>
                <w:lang w:val="de-DE"/>
              </w:rPr>
              <w:t xml:space="preserve">einem </w:t>
            </w:r>
            <w:r w:rsidRPr="00274E1E">
              <w:rPr>
                <w:lang w:val="de-DE"/>
              </w:rPr>
              <w:t>optional</w:t>
            </w:r>
            <w:r w:rsidR="00F010E6">
              <w:rPr>
                <w:lang w:val="de-DE"/>
              </w:rPr>
              <w:t>e</w:t>
            </w:r>
            <w:r w:rsidR="0030623F">
              <w:rPr>
                <w:lang w:val="de-DE"/>
              </w:rPr>
              <w:t>n</w:t>
            </w:r>
            <w:r w:rsidR="00F010E6">
              <w:rPr>
                <w:lang w:val="de-DE"/>
              </w:rPr>
              <w:t xml:space="preserve">, </w:t>
            </w:r>
            <w:r w:rsidRPr="00274E1E">
              <w:rPr>
                <w:lang w:val="de-DE"/>
              </w:rPr>
              <w:t>programmierbare</w:t>
            </w:r>
            <w:r w:rsidR="0030623F">
              <w:rPr>
                <w:lang w:val="de-DE"/>
              </w:rPr>
              <w:t>n</w:t>
            </w:r>
            <w:r w:rsidRPr="00274E1E">
              <w:rPr>
                <w:lang w:val="de-DE"/>
              </w:rPr>
              <w:t xml:space="preserve"> </w:t>
            </w:r>
            <w:r w:rsidR="00F010E6">
              <w:rPr>
                <w:lang w:val="de-DE"/>
              </w:rPr>
              <w:t>Mute-S</w:t>
            </w:r>
            <w:r w:rsidRPr="00274E1E">
              <w:rPr>
                <w:lang w:val="de-DE"/>
              </w:rPr>
              <w:t>chalter erhältlich</w:t>
            </w:r>
          </w:p>
        </w:tc>
        <w:tc>
          <w:tcPr>
            <w:tcW w:w="5580" w:type="dxa"/>
          </w:tcPr>
          <w:p w14:paraId="34B3734B" w14:textId="3C0AC915" w:rsidR="000B4F19" w:rsidRPr="00274E1E" w:rsidRDefault="001426D7" w:rsidP="00A44395">
            <w:pPr>
              <w:pStyle w:val="Beschriftung"/>
              <w:rPr>
                <w:lang w:val="de-DE"/>
              </w:rPr>
            </w:pPr>
            <w:r w:rsidRPr="00274E1E">
              <w:rPr>
                <w:noProof/>
                <w:lang w:val="de-DE" w:eastAsia="de-DE"/>
              </w:rPr>
              <w:drawing>
                <wp:inline distT="0" distB="0" distL="0" distR="0" wp14:anchorId="04D10140" wp14:editId="554F508A">
                  <wp:extent cx="722289" cy="3793353"/>
                  <wp:effectExtent l="762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6"/>
                          <a:stretch>
                            <a:fillRect/>
                          </a:stretch>
                        </pic:blipFill>
                        <pic:spPr>
                          <a:xfrm rot="16200000">
                            <a:off x="0" y="0"/>
                            <a:ext cx="730505" cy="3836504"/>
                          </a:xfrm>
                          <a:prstGeom prst="rect">
                            <a:avLst/>
                          </a:prstGeom>
                        </pic:spPr>
                      </pic:pic>
                    </a:graphicData>
                  </a:graphic>
                </wp:inline>
              </w:drawing>
            </w:r>
          </w:p>
        </w:tc>
      </w:tr>
    </w:tbl>
    <w:p w14:paraId="14DCC700" w14:textId="25F66B82" w:rsidR="005C21BD" w:rsidRDefault="005C21BD" w:rsidP="00844456">
      <w:pPr>
        <w:rPr>
          <w:lang w:val="de-DE"/>
        </w:rPr>
      </w:pPr>
    </w:p>
    <w:p w14:paraId="79871EB5" w14:textId="77777777" w:rsidR="00F010E6" w:rsidRPr="00274E1E" w:rsidRDefault="00F010E6" w:rsidP="00844456">
      <w:pPr>
        <w:rPr>
          <w:lang w:val="de-DE"/>
        </w:rPr>
      </w:pPr>
    </w:p>
    <w:p w14:paraId="6F461F7E" w14:textId="4DE6F80F" w:rsidR="006C1581" w:rsidRPr="00274E1E" w:rsidRDefault="00590910" w:rsidP="00844456">
      <w:pPr>
        <w:rPr>
          <w:lang w:val="de-DE"/>
        </w:rPr>
      </w:pPr>
      <w:r w:rsidRPr="00274E1E">
        <w:rPr>
          <w:lang w:val="de-DE"/>
        </w:rPr>
        <w:t xml:space="preserve">Auch </w:t>
      </w:r>
      <w:r w:rsidR="00F010E6">
        <w:rPr>
          <w:lang w:val="de-DE"/>
        </w:rPr>
        <w:t>beim</w:t>
      </w:r>
      <w:r w:rsidRPr="00274E1E">
        <w:rPr>
          <w:lang w:val="de-DE"/>
        </w:rPr>
        <w:t xml:space="preserve"> </w:t>
      </w:r>
      <w:r w:rsidR="00F010E6">
        <w:rPr>
          <w:lang w:val="de-DE"/>
        </w:rPr>
        <w:t>drahtlosen Tischfuß</w:t>
      </w:r>
      <w:r w:rsidRPr="00274E1E">
        <w:rPr>
          <w:lang w:val="de-DE"/>
        </w:rPr>
        <w:t xml:space="preserve"> gibt es zwei </w:t>
      </w:r>
      <w:r w:rsidR="00F010E6">
        <w:rPr>
          <w:lang w:val="de-DE"/>
        </w:rPr>
        <w:t>Varianten</w:t>
      </w:r>
      <w:r w:rsidRPr="00274E1E">
        <w:rPr>
          <w:lang w:val="de-DE"/>
        </w:rPr>
        <w:t xml:space="preserve">: Die Version mit XLR-3-Anschluss </w:t>
      </w:r>
      <w:r w:rsidR="00F010E6">
        <w:rPr>
          <w:lang w:val="de-DE"/>
        </w:rPr>
        <w:t xml:space="preserve">ist für </w:t>
      </w:r>
      <w:r w:rsidRPr="00F010E6">
        <w:rPr>
          <w:lang w:val="de-DE"/>
        </w:rPr>
        <w:t xml:space="preserve">Standard-Schwanenhalsmikrofone </w:t>
      </w:r>
      <w:r w:rsidR="00F010E6" w:rsidRPr="00F010E6">
        <w:rPr>
          <w:lang w:val="de-DE"/>
        </w:rPr>
        <w:t>geda</w:t>
      </w:r>
      <w:r w:rsidR="00F010E6">
        <w:rPr>
          <w:lang w:val="de-DE"/>
        </w:rPr>
        <w:t>cht</w:t>
      </w:r>
      <w:r w:rsidRPr="00274E1E">
        <w:rPr>
          <w:lang w:val="de-DE"/>
        </w:rPr>
        <w:t>, die Version mit XLR-5-Anschluss für Schwanenhalsmikrofone mit L</w:t>
      </w:r>
      <w:r w:rsidR="00F010E6">
        <w:rPr>
          <w:lang w:val="de-DE"/>
        </w:rPr>
        <w:t>eucht</w:t>
      </w:r>
      <w:r w:rsidRPr="00274E1E">
        <w:rPr>
          <w:lang w:val="de-DE"/>
        </w:rPr>
        <w:t>ring. Die</w:t>
      </w:r>
      <w:r w:rsidR="00F010E6">
        <w:rPr>
          <w:lang w:val="de-DE"/>
        </w:rPr>
        <w:t xml:space="preserve"> Tischfüße </w:t>
      </w:r>
      <w:r w:rsidRPr="00274E1E">
        <w:rPr>
          <w:lang w:val="de-DE"/>
        </w:rPr>
        <w:t>können mit dem CHG 2W-Ladegerät induktiv aufgeladen werden und laufen mit einer einzigen Ladung 11 Stunden lang.</w:t>
      </w:r>
      <w:r w:rsidR="006C1581" w:rsidRPr="00274E1E">
        <w:rPr>
          <w:lang w:val="de-DE"/>
        </w:rPr>
        <w:t xml:space="preserve"> </w:t>
      </w:r>
    </w:p>
    <w:p w14:paraId="704AD643" w14:textId="3546DCF7" w:rsidR="00156671" w:rsidRPr="00274E1E" w:rsidRDefault="00156671" w:rsidP="0084445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89"/>
        <w:gridCol w:w="5181"/>
      </w:tblGrid>
      <w:tr w:rsidR="00A44395" w:rsidRPr="006D0E16" w14:paraId="24492EDE" w14:textId="77777777" w:rsidTr="00A44395">
        <w:tc>
          <w:tcPr>
            <w:tcW w:w="2689" w:type="dxa"/>
          </w:tcPr>
          <w:p w14:paraId="18D0E138" w14:textId="28414249" w:rsidR="00A44395" w:rsidRPr="00274E1E" w:rsidRDefault="00A44395" w:rsidP="00A44395">
            <w:pPr>
              <w:pStyle w:val="Beschriftung"/>
              <w:rPr>
                <w:lang w:val="de-DE"/>
              </w:rPr>
            </w:pPr>
            <w:r w:rsidRPr="00274E1E">
              <w:rPr>
                <w:noProof/>
                <w:lang w:val="de-DE" w:eastAsia="de-DE"/>
              </w:rPr>
              <w:drawing>
                <wp:inline distT="0" distB="0" distL="0" distR="0" wp14:anchorId="6A98A88F" wp14:editId="3269785D">
                  <wp:extent cx="1151612" cy="1594714"/>
                  <wp:effectExtent l="0" t="0" r="0" b="571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7"/>
                          <a:stretch>
                            <a:fillRect/>
                          </a:stretch>
                        </pic:blipFill>
                        <pic:spPr>
                          <a:xfrm>
                            <a:off x="0" y="0"/>
                            <a:ext cx="1167327" cy="1616475"/>
                          </a:xfrm>
                          <a:prstGeom prst="rect">
                            <a:avLst/>
                          </a:prstGeom>
                        </pic:spPr>
                      </pic:pic>
                    </a:graphicData>
                  </a:graphic>
                </wp:inline>
              </w:drawing>
            </w:r>
          </w:p>
        </w:tc>
        <w:tc>
          <w:tcPr>
            <w:tcW w:w="5181" w:type="dxa"/>
          </w:tcPr>
          <w:p w14:paraId="205CD44C" w14:textId="492AFFC6" w:rsidR="00A44395" w:rsidRPr="00274E1E" w:rsidRDefault="00590910" w:rsidP="00A44395">
            <w:pPr>
              <w:pStyle w:val="Beschriftung"/>
              <w:rPr>
                <w:lang w:val="de-DE"/>
              </w:rPr>
            </w:pPr>
            <w:r w:rsidRPr="00274E1E">
              <w:rPr>
                <w:lang w:val="de-DE"/>
              </w:rPr>
              <w:t xml:space="preserve">Die XLR-5-Version des </w:t>
            </w:r>
            <w:r w:rsidR="00921D9F">
              <w:rPr>
                <w:lang w:val="de-DE"/>
              </w:rPr>
              <w:t xml:space="preserve">drahtlosen </w:t>
            </w:r>
            <w:r w:rsidRPr="00274E1E">
              <w:rPr>
                <w:lang w:val="de-DE"/>
              </w:rPr>
              <w:t>EW-DX-Tisch</w:t>
            </w:r>
            <w:r w:rsidR="00921D9F">
              <w:rPr>
                <w:lang w:val="de-DE"/>
              </w:rPr>
              <w:t>fußes</w:t>
            </w:r>
          </w:p>
        </w:tc>
      </w:tr>
    </w:tbl>
    <w:p w14:paraId="7A97B795" w14:textId="296AD6C0" w:rsidR="00A44395" w:rsidRPr="00274E1E" w:rsidRDefault="00A44395" w:rsidP="00844456">
      <w:pPr>
        <w:rPr>
          <w:lang w:val="de-DE"/>
        </w:rPr>
      </w:pPr>
    </w:p>
    <w:p w14:paraId="6C51663F" w14:textId="77777777" w:rsidR="00590910" w:rsidRPr="00274E1E" w:rsidRDefault="00590910" w:rsidP="00590910">
      <w:pPr>
        <w:rPr>
          <w:b/>
          <w:bCs/>
          <w:lang w:val="de-DE"/>
        </w:rPr>
      </w:pPr>
      <w:r w:rsidRPr="00274E1E">
        <w:rPr>
          <w:b/>
          <w:bCs/>
          <w:lang w:val="de-DE"/>
        </w:rPr>
        <w:t>Software</w:t>
      </w:r>
    </w:p>
    <w:p w14:paraId="01D44609" w14:textId="06DDDB03" w:rsidR="00274E1E" w:rsidRPr="00274E1E" w:rsidRDefault="00590910" w:rsidP="00590910">
      <w:pPr>
        <w:rPr>
          <w:bCs/>
          <w:lang w:val="de-DE"/>
        </w:rPr>
      </w:pPr>
      <w:r w:rsidRPr="00274E1E">
        <w:rPr>
          <w:bCs/>
          <w:lang w:val="de-DE"/>
        </w:rPr>
        <w:t xml:space="preserve">EW-DX wird in die Sennheiser Control Cockpit Software, die </w:t>
      </w:r>
      <w:r w:rsidR="00921D9F" w:rsidRPr="00274E1E">
        <w:rPr>
          <w:bCs/>
          <w:lang w:val="de-DE"/>
        </w:rPr>
        <w:t>Desktop</w:t>
      </w:r>
      <w:r w:rsidR="00921D9F">
        <w:rPr>
          <w:bCs/>
          <w:lang w:val="de-DE"/>
        </w:rPr>
        <w:t>-</w:t>
      </w:r>
      <w:r w:rsidR="00921D9F" w:rsidRPr="00274E1E">
        <w:rPr>
          <w:bCs/>
          <w:lang w:val="de-DE"/>
        </w:rPr>
        <w:t xml:space="preserve">Software </w:t>
      </w:r>
      <w:r w:rsidRPr="00274E1E">
        <w:rPr>
          <w:bCs/>
          <w:lang w:val="de-DE"/>
        </w:rPr>
        <w:t>Wireless Systems Manager und die Smart Assist Ap</w:t>
      </w:r>
      <w:r w:rsidR="000521AA">
        <w:rPr>
          <w:bCs/>
          <w:lang w:val="de-DE"/>
        </w:rPr>
        <w:t xml:space="preserve">p integriert. Außerdem wird es </w:t>
      </w:r>
      <w:r w:rsidR="00F526DE">
        <w:rPr>
          <w:bCs/>
          <w:lang w:val="de-DE"/>
        </w:rPr>
        <w:t>P</w:t>
      </w:r>
      <w:r w:rsidR="00F526DE" w:rsidRPr="00274E1E">
        <w:rPr>
          <w:bCs/>
          <w:lang w:val="de-DE"/>
        </w:rPr>
        <w:t>lug</w:t>
      </w:r>
      <w:r w:rsidR="0030623F">
        <w:rPr>
          <w:bCs/>
          <w:lang w:val="de-DE"/>
        </w:rPr>
        <w:t>i</w:t>
      </w:r>
      <w:r w:rsidR="00F526DE" w:rsidRPr="00274E1E">
        <w:rPr>
          <w:bCs/>
          <w:lang w:val="de-DE"/>
        </w:rPr>
        <w:t>ns</w:t>
      </w:r>
      <w:r w:rsidRPr="00274E1E">
        <w:rPr>
          <w:bCs/>
          <w:lang w:val="de-DE"/>
        </w:rPr>
        <w:t xml:space="preserve"> für führende Steuerungssoftware von Drittanbietern geben.</w:t>
      </w:r>
    </w:p>
    <w:p w14:paraId="57102933" w14:textId="77777777" w:rsidR="00274E1E" w:rsidRPr="0030623F" w:rsidRDefault="00274E1E" w:rsidP="00590910">
      <w:pPr>
        <w:rPr>
          <w:lang w:val="de-DE"/>
        </w:rPr>
      </w:pPr>
    </w:p>
    <w:p w14:paraId="03E15A0D" w14:textId="0D6F9E0D" w:rsidR="00274E1E" w:rsidRPr="00274E1E" w:rsidRDefault="00274E1E" w:rsidP="00274E1E">
      <w:pPr>
        <w:rPr>
          <w:lang w:val="de-DE"/>
        </w:rPr>
      </w:pPr>
      <w:r w:rsidRPr="00274E1E">
        <w:rPr>
          <w:lang w:val="de-DE"/>
        </w:rPr>
        <w:t xml:space="preserve">Weitere Informationen über diese neuen Mitglieder der Evolution Wireless Digital-Familie werden bei Markteinführung zur Verfügung gestellt. Bitte besuchen Sie auch </w:t>
      </w:r>
      <w:hyperlink r:id="rId18" w:history="1">
        <w:r w:rsidR="00F526DE" w:rsidRPr="00B6571C">
          <w:rPr>
            <w:rStyle w:val="Hyperlink"/>
            <w:color w:val="0095D5" w:themeColor="accent1"/>
            <w:lang w:val="de-DE"/>
          </w:rPr>
          <w:t>www.sennheiser.com/ew-dx</w:t>
        </w:r>
      </w:hyperlink>
      <w:r w:rsidR="00F526DE">
        <w:rPr>
          <w:lang w:val="de-DE"/>
        </w:rPr>
        <w:t xml:space="preserve"> </w:t>
      </w:r>
      <w:r w:rsidR="00E65377">
        <w:rPr>
          <w:lang w:val="de-DE"/>
        </w:rPr>
        <w:t>für Updates.</w:t>
      </w:r>
    </w:p>
    <w:p w14:paraId="04A9EACF" w14:textId="418B3271" w:rsidR="00CD379D" w:rsidRDefault="00CD379D" w:rsidP="00274E1E">
      <w:pPr>
        <w:rPr>
          <w:lang w:val="de-DE"/>
        </w:rPr>
      </w:pPr>
    </w:p>
    <w:p w14:paraId="141B0267" w14:textId="77777777" w:rsidR="00751E86" w:rsidRDefault="00751E86" w:rsidP="00274E1E">
      <w:pPr>
        <w:rPr>
          <w:lang w:val="de-DE"/>
        </w:rPr>
      </w:pPr>
    </w:p>
    <w:p w14:paraId="35D2752A" w14:textId="66E1EF65" w:rsidR="00274E1E" w:rsidRPr="00274E1E" w:rsidRDefault="00274E1E" w:rsidP="00274E1E">
      <w:pPr>
        <w:rPr>
          <w:lang w:val="de-DE"/>
        </w:rPr>
      </w:pPr>
      <w:r w:rsidRPr="00274E1E">
        <w:rPr>
          <w:lang w:val="de-DE"/>
        </w:rPr>
        <w:t>Dante ist eine eingetragene Marke von Audinate Pty. Ltd.</w:t>
      </w:r>
    </w:p>
    <w:p w14:paraId="65E59696" w14:textId="5AC137AE" w:rsidR="00274E1E" w:rsidRPr="00274E1E" w:rsidRDefault="00CD0BBA" w:rsidP="00274E1E">
      <w:pPr>
        <w:rPr>
          <w:lang w:val="de-DE"/>
        </w:rPr>
      </w:pPr>
      <w:r>
        <w:rPr>
          <w:lang w:val="de-DE"/>
        </w:rPr>
        <w:t>Bluetooth ist eine eingetragene</w:t>
      </w:r>
      <w:r w:rsidR="00274E1E" w:rsidRPr="00274E1E">
        <w:rPr>
          <w:lang w:val="de-DE"/>
        </w:rPr>
        <w:t xml:space="preserve"> </w:t>
      </w:r>
      <w:r>
        <w:rPr>
          <w:lang w:val="de-DE"/>
        </w:rPr>
        <w:t>Marke</w:t>
      </w:r>
      <w:r w:rsidR="00274E1E" w:rsidRPr="00274E1E">
        <w:rPr>
          <w:lang w:val="de-DE"/>
        </w:rPr>
        <w:t xml:space="preserve"> der Bluetooth SIG, Inc.</w:t>
      </w:r>
    </w:p>
    <w:p w14:paraId="02B03087" w14:textId="77777777" w:rsidR="00B6571C" w:rsidRDefault="00B6571C" w:rsidP="00274E1E">
      <w:pPr>
        <w:rPr>
          <w:lang w:val="de-DE"/>
        </w:rPr>
      </w:pPr>
    </w:p>
    <w:p w14:paraId="62F13B6C" w14:textId="4314133D" w:rsidR="002E1F7C" w:rsidRPr="00274E1E" w:rsidRDefault="00274E1E" w:rsidP="00274E1E">
      <w:pPr>
        <w:rPr>
          <w:lang w:val="de-DE"/>
        </w:rPr>
      </w:pPr>
      <w:r w:rsidRPr="00274E1E">
        <w:rPr>
          <w:lang w:val="de-DE"/>
        </w:rPr>
        <w:lastRenderedPageBreak/>
        <w:t xml:space="preserve">Die </w:t>
      </w:r>
      <w:r w:rsidR="00B6571C">
        <w:rPr>
          <w:lang w:val="de-DE"/>
        </w:rPr>
        <w:t xml:space="preserve">hochauflösenden </w:t>
      </w:r>
      <w:r w:rsidRPr="00274E1E">
        <w:rPr>
          <w:lang w:val="de-DE"/>
        </w:rPr>
        <w:t xml:space="preserve">Bilder dieser Pressemitteilung sowie weitere Fotos können </w:t>
      </w:r>
      <w:hyperlink r:id="rId19" w:history="1">
        <w:r w:rsidRPr="00B6571C">
          <w:rPr>
            <w:rStyle w:val="Hyperlink"/>
            <w:color w:val="0095D5" w:themeColor="accent1"/>
            <w:lang w:val="de-DE"/>
          </w:rPr>
          <w:t>hier</w:t>
        </w:r>
      </w:hyperlink>
      <w:r w:rsidRPr="00274E1E">
        <w:rPr>
          <w:lang w:val="de-DE"/>
        </w:rPr>
        <w:t xml:space="preserve"> heruntergeladen werden.</w:t>
      </w:r>
    </w:p>
    <w:p w14:paraId="6E9278C5" w14:textId="6B37EBBA" w:rsidR="00274E1E" w:rsidRDefault="00274E1E" w:rsidP="00274E1E">
      <w:pPr>
        <w:rPr>
          <w:lang w:val="de-DE"/>
        </w:rPr>
      </w:pPr>
    </w:p>
    <w:p w14:paraId="5B5B3541" w14:textId="77777777" w:rsidR="00751E86" w:rsidRPr="00274E1E" w:rsidRDefault="00751E86" w:rsidP="00274E1E">
      <w:pPr>
        <w:rPr>
          <w:lang w:val="de-DE"/>
        </w:rPr>
      </w:pPr>
    </w:p>
    <w:p w14:paraId="3564EF97" w14:textId="77777777" w:rsidR="00274E1E" w:rsidRPr="00274E1E" w:rsidRDefault="00274E1E" w:rsidP="00274E1E">
      <w:pPr>
        <w:spacing w:line="240" w:lineRule="auto"/>
        <w:rPr>
          <w:rStyle w:val="Fett"/>
          <w:lang w:val="de-DE"/>
        </w:rPr>
      </w:pPr>
      <w:bookmarkStart w:id="0" w:name="_Hlk515635723"/>
      <w:r w:rsidRPr="00274E1E">
        <w:rPr>
          <w:rStyle w:val="Fett"/>
          <w:lang w:val="de-DE"/>
        </w:rPr>
        <w:t xml:space="preserve">Über die Marke Sennheiser </w:t>
      </w:r>
    </w:p>
    <w:p w14:paraId="7C485063" w14:textId="77777777" w:rsidR="00274E1E" w:rsidRPr="00274E1E" w:rsidRDefault="00274E1E" w:rsidP="00274E1E">
      <w:pPr>
        <w:spacing w:line="240" w:lineRule="auto"/>
        <w:rPr>
          <w:rStyle w:val="Fett"/>
          <w:b w:val="0"/>
          <w:lang w:val="de-DE"/>
        </w:rPr>
      </w:pPr>
      <w:r w:rsidRPr="00274E1E">
        <w:rPr>
          <w:rStyle w:val="Fett"/>
          <w:b w:val="0"/>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p>
    <w:p w14:paraId="411A6390" w14:textId="77777777" w:rsidR="00F25D24" w:rsidRPr="00274E1E" w:rsidRDefault="00F25D24" w:rsidP="00F25D24">
      <w:pPr>
        <w:spacing w:line="240" w:lineRule="auto"/>
        <w:rPr>
          <w:lang w:val="de-DE"/>
        </w:rPr>
      </w:pPr>
    </w:p>
    <w:p w14:paraId="2C6A5A37" w14:textId="77777777" w:rsidR="00F25D24" w:rsidRPr="00274E1E" w:rsidRDefault="006133C4" w:rsidP="00F25D24">
      <w:pPr>
        <w:spacing w:line="240" w:lineRule="auto"/>
        <w:rPr>
          <w:color w:val="0095D5" w:themeColor="accent1"/>
          <w:szCs w:val="18"/>
          <w:lang w:val="de-DE"/>
        </w:rPr>
      </w:pPr>
      <w:hyperlink r:id="rId20" w:history="1">
        <w:r w:rsidR="00F25D24" w:rsidRPr="00274E1E">
          <w:rPr>
            <w:rStyle w:val="Hyperlink"/>
            <w:color w:val="0095D5" w:themeColor="accent1"/>
            <w:szCs w:val="18"/>
            <w:u w:val="none"/>
            <w:lang w:val="de-DE"/>
          </w:rPr>
          <w:t>www.sennheiser.com</w:t>
        </w:r>
      </w:hyperlink>
      <w:r w:rsidR="00F25D24" w:rsidRPr="00274E1E">
        <w:rPr>
          <w:color w:val="0095D5" w:themeColor="accent1"/>
          <w:szCs w:val="18"/>
          <w:lang w:val="de-DE"/>
        </w:rPr>
        <w:t xml:space="preserve"> </w:t>
      </w:r>
    </w:p>
    <w:p w14:paraId="0713ADBA" w14:textId="77777777" w:rsidR="00F25D24" w:rsidRPr="00274E1E" w:rsidRDefault="006133C4" w:rsidP="00F25D24">
      <w:pPr>
        <w:spacing w:line="240" w:lineRule="auto"/>
        <w:rPr>
          <w:color w:val="0095D5" w:themeColor="accent1"/>
          <w:szCs w:val="18"/>
          <w:lang w:val="de-DE"/>
        </w:rPr>
      </w:pPr>
      <w:hyperlink r:id="rId21" w:history="1">
        <w:r w:rsidR="00F25D24" w:rsidRPr="00274E1E">
          <w:rPr>
            <w:rStyle w:val="Hyperlink"/>
            <w:color w:val="0095D5" w:themeColor="accent1"/>
            <w:szCs w:val="18"/>
            <w:u w:val="none"/>
            <w:lang w:val="de-DE"/>
          </w:rPr>
          <w:t>www.sennheiser-hearing.com</w:t>
        </w:r>
      </w:hyperlink>
    </w:p>
    <w:bookmarkEnd w:id="0"/>
    <w:p w14:paraId="450458AE" w14:textId="77777777" w:rsidR="00162832" w:rsidRPr="00274E1E" w:rsidRDefault="00162832" w:rsidP="00B13D27">
      <w:pPr>
        <w:pStyle w:val="About"/>
        <w:rPr>
          <w:lang w:val="de-DE"/>
        </w:rPr>
      </w:pPr>
    </w:p>
    <w:p w14:paraId="60AFBD9F" w14:textId="77777777" w:rsidR="00FB3505" w:rsidRPr="00274E1E" w:rsidRDefault="00FB3505" w:rsidP="00FB3505">
      <w:pPr>
        <w:pStyle w:val="About"/>
        <w:rPr>
          <w:lang w:val="de-DE"/>
        </w:rPr>
      </w:pPr>
    </w:p>
    <w:p w14:paraId="48D59D61" w14:textId="77777777" w:rsidR="00CD379D" w:rsidRPr="006C3276" w:rsidRDefault="00CD379D" w:rsidP="00CD379D">
      <w:pPr>
        <w:pStyle w:val="Contact"/>
        <w:rPr>
          <w:b/>
        </w:rPr>
      </w:pPr>
      <w:r w:rsidRPr="006C3276">
        <w:rPr>
          <w:b/>
        </w:rPr>
        <w:t>Pressekontakt</w:t>
      </w:r>
    </w:p>
    <w:p w14:paraId="46036615" w14:textId="77777777" w:rsidR="00CD379D" w:rsidRPr="006C3276" w:rsidRDefault="00CD379D" w:rsidP="00CD379D">
      <w:pPr>
        <w:pStyle w:val="Contact"/>
      </w:pPr>
      <w:r w:rsidRPr="006C3276">
        <w:t>Sennheiser electronic GmbH &amp; Co. KG</w:t>
      </w:r>
    </w:p>
    <w:p w14:paraId="0B701749" w14:textId="77777777" w:rsidR="00CD379D" w:rsidRPr="00F1080B" w:rsidRDefault="00CD379D" w:rsidP="00CD379D">
      <w:pPr>
        <w:pStyle w:val="Contact"/>
        <w:rPr>
          <w:color w:val="0095D5"/>
          <w:lang w:val="en-US"/>
        </w:rPr>
      </w:pPr>
      <w:r w:rsidRPr="00F1080B">
        <w:rPr>
          <w:color w:val="0095D5"/>
          <w:lang w:val="en-US"/>
        </w:rPr>
        <w:t>Maik Robbe</w:t>
      </w:r>
    </w:p>
    <w:p w14:paraId="663A1552" w14:textId="77777777" w:rsidR="00CD379D" w:rsidRPr="00F1080B" w:rsidRDefault="00CD379D" w:rsidP="00CD379D">
      <w:pPr>
        <w:pStyle w:val="Contact"/>
        <w:rPr>
          <w:lang w:val="en-US"/>
        </w:rPr>
      </w:pPr>
      <w:r w:rsidRPr="00F1080B">
        <w:rPr>
          <w:lang w:val="en-US"/>
        </w:rPr>
        <w:t>Communications Manager EMEA</w:t>
      </w:r>
    </w:p>
    <w:p w14:paraId="5D50E7C5" w14:textId="77777777" w:rsidR="00CD379D" w:rsidRPr="00F1080B" w:rsidRDefault="00CD379D" w:rsidP="00CD379D">
      <w:pPr>
        <w:pStyle w:val="Contact"/>
        <w:rPr>
          <w:lang w:val="en-US"/>
        </w:rPr>
      </w:pPr>
      <w:r w:rsidRPr="00F1080B">
        <w:rPr>
          <w:lang w:val="en-US"/>
        </w:rPr>
        <w:t>maik.robbe@sennheiser.com</w:t>
      </w:r>
    </w:p>
    <w:p w14:paraId="2C48B7D5" w14:textId="2ACCA20E" w:rsidR="0038583A" w:rsidRPr="000105CB" w:rsidRDefault="0038583A" w:rsidP="00E45F59">
      <w:pPr>
        <w:pStyle w:val="Contact"/>
        <w:rPr>
          <w:lang w:val="en-US"/>
        </w:rPr>
      </w:pPr>
    </w:p>
    <w:sectPr w:rsidR="0038583A" w:rsidRPr="000105CB"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0AD9C" w14:textId="77777777" w:rsidR="00E1286C" w:rsidRDefault="00E1286C" w:rsidP="00CA1EB9">
      <w:pPr>
        <w:spacing w:line="240" w:lineRule="auto"/>
      </w:pPr>
      <w:r>
        <w:separator/>
      </w:r>
    </w:p>
  </w:endnote>
  <w:endnote w:type="continuationSeparator" w:id="0">
    <w:p w14:paraId="63F9DDC5" w14:textId="77777777" w:rsidR="00E1286C" w:rsidRDefault="00E1286C" w:rsidP="00CA1EB9">
      <w:pPr>
        <w:spacing w:line="240" w:lineRule="auto"/>
      </w:pPr>
      <w:r>
        <w:continuationSeparator/>
      </w:r>
    </w:p>
  </w:endnote>
  <w:endnote w:type="continuationNotice" w:id="1">
    <w:p w14:paraId="1E4E6B51" w14:textId="77777777" w:rsidR="00E1286C" w:rsidRDefault="00E128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A648B5AD-4E3A-48F5-8EEB-2D1E64474CE6}"/>
    <w:embedBold r:id="rId2" w:fontKey="{0C58A259-86D7-4104-A999-1D63AC47149F}"/>
    <w:embedItalic r:id="rId3" w:fontKey="{8F88196B-B9DD-4FC2-A4F9-D88AEA2DA1A1}"/>
    <w:embedBoldItalic r:id="rId4" w:fontKey="{4755B2CB-C7F1-401C-AF42-558540E15F4C}"/>
  </w:font>
  <w:font w:name="Calibri">
    <w:panose1 w:val="020F0502020204030204"/>
    <w:charset w:val="00"/>
    <w:family w:val="swiss"/>
    <w:pitch w:val="variable"/>
    <w:sig w:usb0="E4002EFF" w:usb1="C000247B" w:usb2="00000009" w:usb3="00000000" w:csb0="000001FF" w:csb1="00000000"/>
    <w:embedRegular r:id="rId5" w:fontKey="{130FC498-F939-4E15-8702-B49E31698D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1D593E1-DA1B-426B-B218-30C56B4915B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0D3D6" w14:textId="77777777" w:rsidR="00E1286C" w:rsidRDefault="00E1286C" w:rsidP="00CA1EB9">
      <w:pPr>
        <w:spacing w:line="240" w:lineRule="auto"/>
      </w:pPr>
      <w:r>
        <w:separator/>
      </w:r>
    </w:p>
  </w:footnote>
  <w:footnote w:type="continuationSeparator" w:id="0">
    <w:p w14:paraId="7C62A731" w14:textId="77777777" w:rsidR="00E1286C" w:rsidRDefault="00E1286C" w:rsidP="00CA1EB9">
      <w:pPr>
        <w:spacing w:line="240" w:lineRule="auto"/>
      </w:pPr>
      <w:r>
        <w:continuationSeparator/>
      </w:r>
    </w:p>
  </w:footnote>
  <w:footnote w:type="continuationNotice" w:id="1">
    <w:p w14:paraId="0D18FC5C" w14:textId="77777777" w:rsidR="00E1286C" w:rsidRDefault="00E128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10BCD71" w:rsidR="00324808" w:rsidRPr="008E5D5C" w:rsidRDefault="00A10976" w:rsidP="008E5D5C">
    <w:pPr>
      <w:pStyle w:val="Kopfzeile"/>
      <w:rPr>
        <w:color w:val="0095D5" w:themeColor="accent1"/>
      </w:rPr>
    </w:pPr>
    <w:r w:rsidRPr="008E5D5C">
      <w:rPr>
        <w:color w:val="0095D5" w:themeColor="accent1"/>
      </w:rPr>
      <w:t>Pres</w:t>
    </w:r>
    <w:r>
      <w:rPr>
        <w:color w:val="0095D5" w:themeColor="accent1"/>
      </w:rPr>
      <w:t>SEMITTEILUNG</w:t>
    </w:r>
    <w:r w:rsidR="00324808" w:rsidRPr="008E5D5C">
      <w:rPr>
        <w:noProof/>
        <w:color w:val="0095D5" w:themeColor="accent1"/>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625B744" w:rsidR="00324808" w:rsidRPr="008E5D5C" w:rsidRDefault="00324808" w:rsidP="008E5D5C">
    <w:pPr>
      <w:pStyle w:val="Kopfzeile"/>
    </w:pPr>
    <w:r>
      <w:fldChar w:fldCharType="begin"/>
    </w:r>
    <w:r>
      <w:instrText xml:space="preserve"> PAGE  \* Arabic  \* MERGEFORMAT </w:instrText>
    </w:r>
    <w:r>
      <w:fldChar w:fldCharType="separate"/>
    </w:r>
    <w:r w:rsidR="00606224">
      <w:rPr>
        <w:noProof/>
      </w:rPr>
      <w:t>2</w:t>
    </w:r>
    <w:r>
      <w:fldChar w:fldCharType="end"/>
    </w:r>
    <w:r>
      <w:t>/</w:t>
    </w:r>
    <w:r w:rsidR="006133C4">
      <w:fldChar w:fldCharType="begin"/>
    </w:r>
    <w:r w:rsidR="006133C4">
      <w:instrText>NUMPAGES  \* Arabic  \* MERGEFORMAT</w:instrText>
    </w:r>
    <w:r w:rsidR="006133C4">
      <w:fldChar w:fldCharType="separate"/>
    </w:r>
    <w:r w:rsidR="00606224">
      <w:rPr>
        <w:noProof/>
      </w:rPr>
      <w:t>5</w:t>
    </w:r>
    <w:r w:rsidR="006133C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7D3F2D9"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A10976">
      <w:rPr>
        <w:color w:val="0095D5" w:themeColor="accent1"/>
      </w:rPr>
      <w:t>EMITTEILUNG</w:t>
    </w:r>
    <w:r w:rsidRPr="008E5D5C">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3AB0170D" w:rsidR="00324808" w:rsidRPr="008E5D5C" w:rsidRDefault="00324808" w:rsidP="008E5D5C">
    <w:pPr>
      <w:pStyle w:val="Kopfzeile"/>
    </w:pPr>
    <w:r>
      <w:fldChar w:fldCharType="begin"/>
    </w:r>
    <w:r>
      <w:instrText xml:space="preserve"> PAGE  \* Arabic  \* MERGEFORMAT </w:instrText>
    </w:r>
    <w:r>
      <w:fldChar w:fldCharType="separate"/>
    </w:r>
    <w:r w:rsidR="000D780F">
      <w:rPr>
        <w:noProof/>
      </w:rPr>
      <w:t>1</w:t>
    </w:r>
    <w:r>
      <w:fldChar w:fldCharType="end"/>
    </w:r>
    <w:r>
      <w:t>/</w:t>
    </w:r>
    <w:r w:rsidR="006133C4">
      <w:fldChar w:fldCharType="begin"/>
    </w:r>
    <w:r w:rsidR="006133C4">
      <w:instrText>NUMPAGES  \* Arabic  \* MERGEFORMAT</w:instrText>
    </w:r>
    <w:r w:rsidR="006133C4">
      <w:fldChar w:fldCharType="separate"/>
    </w:r>
    <w:r w:rsidR="000D780F">
      <w:rPr>
        <w:noProof/>
      </w:rPr>
      <w:t>5</w:t>
    </w:r>
    <w:r w:rsidR="006133C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3194820">
    <w:abstractNumId w:val="6"/>
  </w:num>
  <w:num w:numId="2" w16cid:durableId="874073609">
    <w:abstractNumId w:val="2"/>
  </w:num>
  <w:num w:numId="3" w16cid:durableId="210846067">
    <w:abstractNumId w:val="25"/>
  </w:num>
  <w:num w:numId="4" w16cid:durableId="41442028">
    <w:abstractNumId w:val="5"/>
  </w:num>
  <w:num w:numId="5" w16cid:durableId="1222866241">
    <w:abstractNumId w:val="18"/>
  </w:num>
  <w:num w:numId="6" w16cid:durableId="516971141">
    <w:abstractNumId w:val="9"/>
  </w:num>
  <w:num w:numId="7" w16cid:durableId="1065180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8526631">
    <w:abstractNumId w:val="1"/>
  </w:num>
  <w:num w:numId="9" w16cid:durableId="1108545872">
    <w:abstractNumId w:val="14"/>
  </w:num>
  <w:num w:numId="10" w16cid:durableId="482894817">
    <w:abstractNumId w:val="0"/>
  </w:num>
  <w:num w:numId="11" w16cid:durableId="895358732">
    <w:abstractNumId w:val="7"/>
  </w:num>
  <w:num w:numId="12" w16cid:durableId="1171867990">
    <w:abstractNumId w:val="15"/>
  </w:num>
  <w:num w:numId="13" w16cid:durableId="136537161">
    <w:abstractNumId w:val="24"/>
  </w:num>
  <w:num w:numId="14" w16cid:durableId="1621570370">
    <w:abstractNumId w:val="3"/>
  </w:num>
  <w:num w:numId="15" w16cid:durableId="312486817">
    <w:abstractNumId w:val="16"/>
  </w:num>
  <w:num w:numId="16" w16cid:durableId="571624540">
    <w:abstractNumId w:val="11"/>
  </w:num>
  <w:num w:numId="17" w16cid:durableId="2007704619">
    <w:abstractNumId w:val="10"/>
  </w:num>
  <w:num w:numId="18" w16cid:durableId="2135099344">
    <w:abstractNumId w:val="8"/>
  </w:num>
  <w:num w:numId="19" w16cid:durableId="1305618683">
    <w:abstractNumId w:val="12"/>
  </w:num>
  <w:num w:numId="20" w16cid:durableId="23218154">
    <w:abstractNumId w:val="13"/>
  </w:num>
  <w:num w:numId="21" w16cid:durableId="2015495463">
    <w:abstractNumId w:val="17"/>
  </w:num>
  <w:num w:numId="22" w16cid:durableId="598755948">
    <w:abstractNumId w:val="23"/>
  </w:num>
  <w:num w:numId="23" w16cid:durableId="1423145998">
    <w:abstractNumId w:val="20"/>
  </w:num>
  <w:num w:numId="24" w16cid:durableId="497497504">
    <w:abstractNumId w:val="22"/>
  </w:num>
  <w:num w:numId="25" w16cid:durableId="2104035708">
    <w:abstractNumId w:val="21"/>
  </w:num>
  <w:num w:numId="26" w16cid:durableId="1119958926">
    <w:abstractNumId w:val="19"/>
  </w:num>
  <w:num w:numId="27" w16cid:durableId="20104030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05CB"/>
    <w:rsid w:val="000134D7"/>
    <w:rsid w:val="0001367D"/>
    <w:rsid w:val="00014BCA"/>
    <w:rsid w:val="0001632B"/>
    <w:rsid w:val="0001676E"/>
    <w:rsid w:val="00021722"/>
    <w:rsid w:val="000272C5"/>
    <w:rsid w:val="00034424"/>
    <w:rsid w:val="00035A74"/>
    <w:rsid w:val="00037CAA"/>
    <w:rsid w:val="000451AC"/>
    <w:rsid w:val="00046898"/>
    <w:rsid w:val="00047D6A"/>
    <w:rsid w:val="000515F9"/>
    <w:rsid w:val="000521AA"/>
    <w:rsid w:val="00052598"/>
    <w:rsid w:val="000534CD"/>
    <w:rsid w:val="00055E55"/>
    <w:rsid w:val="000569C8"/>
    <w:rsid w:val="00056C73"/>
    <w:rsid w:val="00057569"/>
    <w:rsid w:val="00060BEE"/>
    <w:rsid w:val="00060E12"/>
    <w:rsid w:val="000619D2"/>
    <w:rsid w:val="0006221A"/>
    <w:rsid w:val="00062A68"/>
    <w:rsid w:val="000650C7"/>
    <w:rsid w:val="00067931"/>
    <w:rsid w:val="00071D44"/>
    <w:rsid w:val="00082526"/>
    <w:rsid w:val="00082642"/>
    <w:rsid w:val="000845EB"/>
    <w:rsid w:val="000850F9"/>
    <w:rsid w:val="00086976"/>
    <w:rsid w:val="00086BC7"/>
    <w:rsid w:val="00090449"/>
    <w:rsid w:val="00090721"/>
    <w:rsid w:val="00093230"/>
    <w:rsid w:val="0009384F"/>
    <w:rsid w:val="000A054A"/>
    <w:rsid w:val="000B03EF"/>
    <w:rsid w:val="000B048C"/>
    <w:rsid w:val="000B110A"/>
    <w:rsid w:val="000B16C2"/>
    <w:rsid w:val="000B4F19"/>
    <w:rsid w:val="000C0707"/>
    <w:rsid w:val="000C07FC"/>
    <w:rsid w:val="000C1C9D"/>
    <w:rsid w:val="000C3C6E"/>
    <w:rsid w:val="000C5819"/>
    <w:rsid w:val="000D07C3"/>
    <w:rsid w:val="000D5728"/>
    <w:rsid w:val="000D780F"/>
    <w:rsid w:val="000E558A"/>
    <w:rsid w:val="000E735B"/>
    <w:rsid w:val="000E7A92"/>
    <w:rsid w:val="000F1105"/>
    <w:rsid w:val="000F1B7D"/>
    <w:rsid w:val="000F3F63"/>
    <w:rsid w:val="000F712D"/>
    <w:rsid w:val="000F7E49"/>
    <w:rsid w:val="001023F9"/>
    <w:rsid w:val="001030EE"/>
    <w:rsid w:val="00103124"/>
    <w:rsid w:val="001103C9"/>
    <w:rsid w:val="00110939"/>
    <w:rsid w:val="001113EF"/>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5784"/>
    <w:rsid w:val="00156671"/>
    <w:rsid w:val="00161E89"/>
    <w:rsid w:val="001624CA"/>
    <w:rsid w:val="00162832"/>
    <w:rsid w:val="00163E4D"/>
    <w:rsid w:val="001654D3"/>
    <w:rsid w:val="0016666F"/>
    <w:rsid w:val="0016751B"/>
    <w:rsid w:val="0016778C"/>
    <w:rsid w:val="001702B1"/>
    <w:rsid w:val="00172077"/>
    <w:rsid w:val="001747E2"/>
    <w:rsid w:val="00174E44"/>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DA6"/>
    <w:rsid w:val="001A5A7D"/>
    <w:rsid w:val="001A6D46"/>
    <w:rsid w:val="001A6DF3"/>
    <w:rsid w:val="001B0B49"/>
    <w:rsid w:val="001B451C"/>
    <w:rsid w:val="001B46A8"/>
    <w:rsid w:val="001B4B52"/>
    <w:rsid w:val="001B6A18"/>
    <w:rsid w:val="001C00CF"/>
    <w:rsid w:val="001C63D8"/>
    <w:rsid w:val="001D4136"/>
    <w:rsid w:val="001D4E25"/>
    <w:rsid w:val="001E07FB"/>
    <w:rsid w:val="001E08AB"/>
    <w:rsid w:val="001E0C8F"/>
    <w:rsid w:val="001E188A"/>
    <w:rsid w:val="001E29F7"/>
    <w:rsid w:val="001F2EA0"/>
    <w:rsid w:val="001F3001"/>
    <w:rsid w:val="002008AB"/>
    <w:rsid w:val="002035AE"/>
    <w:rsid w:val="00203C58"/>
    <w:rsid w:val="002057CE"/>
    <w:rsid w:val="00205AD4"/>
    <w:rsid w:val="002075EF"/>
    <w:rsid w:val="00213B6E"/>
    <w:rsid w:val="00214801"/>
    <w:rsid w:val="00217B14"/>
    <w:rsid w:val="002206C4"/>
    <w:rsid w:val="00225A83"/>
    <w:rsid w:val="00225AEB"/>
    <w:rsid w:val="00225EDC"/>
    <w:rsid w:val="0023030F"/>
    <w:rsid w:val="0023078D"/>
    <w:rsid w:val="002332F1"/>
    <w:rsid w:val="00235506"/>
    <w:rsid w:val="002356E0"/>
    <w:rsid w:val="00235C08"/>
    <w:rsid w:val="00240019"/>
    <w:rsid w:val="002409B4"/>
    <w:rsid w:val="00241C41"/>
    <w:rsid w:val="002435BC"/>
    <w:rsid w:val="00245322"/>
    <w:rsid w:val="002465AA"/>
    <w:rsid w:val="00247165"/>
    <w:rsid w:val="002502A3"/>
    <w:rsid w:val="00250A63"/>
    <w:rsid w:val="00257E72"/>
    <w:rsid w:val="00262172"/>
    <w:rsid w:val="00274E1E"/>
    <w:rsid w:val="00276DE9"/>
    <w:rsid w:val="00280603"/>
    <w:rsid w:val="00281835"/>
    <w:rsid w:val="00281989"/>
    <w:rsid w:val="00282A73"/>
    <w:rsid w:val="00282A8D"/>
    <w:rsid w:val="002834AA"/>
    <w:rsid w:val="00284363"/>
    <w:rsid w:val="002849F1"/>
    <w:rsid w:val="002856C8"/>
    <w:rsid w:val="00286F89"/>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C23"/>
    <w:rsid w:val="002D6132"/>
    <w:rsid w:val="002D6BD2"/>
    <w:rsid w:val="002E1879"/>
    <w:rsid w:val="002E1F7C"/>
    <w:rsid w:val="002E21BD"/>
    <w:rsid w:val="002E3E3C"/>
    <w:rsid w:val="002E413B"/>
    <w:rsid w:val="002E5827"/>
    <w:rsid w:val="002E6AC4"/>
    <w:rsid w:val="002F2179"/>
    <w:rsid w:val="002F6C5E"/>
    <w:rsid w:val="002F727C"/>
    <w:rsid w:val="0030235B"/>
    <w:rsid w:val="00305B63"/>
    <w:rsid w:val="0030623F"/>
    <w:rsid w:val="00310330"/>
    <w:rsid w:val="00311C6F"/>
    <w:rsid w:val="00314D5D"/>
    <w:rsid w:val="00320EA4"/>
    <w:rsid w:val="003222F5"/>
    <w:rsid w:val="00323587"/>
    <w:rsid w:val="00324808"/>
    <w:rsid w:val="00324859"/>
    <w:rsid w:val="00324C8C"/>
    <w:rsid w:val="00326FB8"/>
    <w:rsid w:val="003275FC"/>
    <w:rsid w:val="00330111"/>
    <w:rsid w:val="003315EB"/>
    <w:rsid w:val="003330DE"/>
    <w:rsid w:val="00334CD0"/>
    <w:rsid w:val="003361DB"/>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73FF"/>
    <w:rsid w:val="003708EA"/>
    <w:rsid w:val="00372321"/>
    <w:rsid w:val="0037237A"/>
    <w:rsid w:val="00373F92"/>
    <w:rsid w:val="00375ACD"/>
    <w:rsid w:val="00382243"/>
    <w:rsid w:val="0038583A"/>
    <w:rsid w:val="00386F07"/>
    <w:rsid w:val="00387600"/>
    <w:rsid w:val="00387744"/>
    <w:rsid w:val="00392136"/>
    <w:rsid w:val="00393D02"/>
    <w:rsid w:val="0039588A"/>
    <w:rsid w:val="00395D17"/>
    <w:rsid w:val="003A22EB"/>
    <w:rsid w:val="003A26C2"/>
    <w:rsid w:val="003A4922"/>
    <w:rsid w:val="003A649F"/>
    <w:rsid w:val="003B2C4C"/>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3BC"/>
    <w:rsid w:val="00453B3E"/>
    <w:rsid w:val="00455202"/>
    <w:rsid w:val="004555C1"/>
    <w:rsid w:val="00456CAC"/>
    <w:rsid w:val="00462AE9"/>
    <w:rsid w:val="00474E4B"/>
    <w:rsid w:val="00484D22"/>
    <w:rsid w:val="004850F3"/>
    <w:rsid w:val="00486FC7"/>
    <w:rsid w:val="00490C42"/>
    <w:rsid w:val="0049503E"/>
    <w:rsid w:val="004967AE"/>
    <w:rsid w:val="0049778B"/>
    <w:rsid w:val="004A2CB3"/>
    <w:rsid w:val="004A40F5"/>
    <w:rsid w:val="004A608A"/>
    <w:rsid w:val="004B06B4"/>
    <w:rsid w:val="004C3017"/>
    <w:rsid w:val="004C31E3"/>
    <w:rsid w:val="004C328A"/>
    <w:rsid w:val="004D1199"/>
    <w:rsid w:val="004D190A"/>
    <w:rsid w:val="004E0A54"/>
    <w:rsid w:val="004E19A6"/>
    <w:rsid w:val="004E1BE5"/>
    <w:rsid w:val="004E2405"/>
    <w:rsid w:val="004E2E65"/>
    <w:rsid w:val="004E7F9A"/>
    <w:rsid w:val="004F08EC"/>
    <w:rsid w:val="004F31F9"/>
    <w:rsid w:val="004F355A"/>
    <w:rsid w:val="004F3C0D"/>
    <w:rsid w:val="004F79CB"/>
    <w:rsid w:val="00500E07"/>
    <w:rsid w:val="00503BE9"/>
    <w:rsid w:val="00504A34"/>
    <w:rsid w:val="00505597"/>
    <w:rsid w:val="00507935"/>
    <w:rsid w:val="00507C02"/>
    <w:rsid w:val="005124E6"/>
    <w:rsid w:val="00512E73"/>
    <w:rsid w:val="005232D7"/>
    <w:rsid w:val="00523995"/>
    <w:rsid w:val="00524530"/>
    <w:rsid w:val="0052510B"/>
    <w:rsid w:val="00527761"/>
    <w:rsid w:val="00530640"/>
    <w:rsid w:val="005327DB"/>
    <w:rsid w:val="00532E74"/>
    <w:rsid w:val="005358C9"/>
    <w:rsid w:val="00535E0F"/>
    <w:rsid w:val="00536203"/>
    <w:rsid w:val="00540827"/>
    <w:rsid w:val="00541F4C"/>
    <w:rsid w:val="005438AB"/>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5CBB"/>
    <w:rsid w:val="005861F7"/>
    <w:rsid w:val="00586B05"/>
    <w:rsid w:val="00590910"/>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571F"/>
    <w:rsid w:val="005D6B4E"/>
    <w:rsid w:val="005E34A2"/>
    <w:rsid w:val="005E4083"/>
    <w:rsid w:val="005F2A2F"/>
    <w:rsid w:val="005F375F"/>
    <w:rsid w:val="005F4E1E"/>
    <w:rsid w:val="005F74D3"/>
    <w:rsid w:val="00600459"/>
    <w:rsid w:val="00600ED3"/>
    <w:rsid w:val="0060142B"/>
    <w:rsid w:val="006033A5"/>
    <w:rsid w:val="006051BB"/>
    <w:rsid w:val="00606224"/>
    <w:rsid w:val="006108B6"/>
    <w:rsid w:val="00611234"/>
    <w:rsid w:val="006124BD"/>
    <w:rsid w:val="006133C4"/>
    <w:rsid w:val="0062293A"/>
    <w:rsid w:val="00622B56"/>
    <w:rsid w:val="00627B1F"/>
    <w:rsid w:val="00631B22"/>
    <w:rsid w:val="00633157"/>
    <w:rsid w:val="00633754"/>
    <w:rsid w:val="0063731D"/>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B12AB"/>
    <w:rsid w:val="006B1B50"/>
    <w:rsid w:val="006B5046"/>
    <w:rsid w:val="006B69DA"/>
    <w:rsid w:val="006B6C35"/>
    <w:rsid w:val="006B7361"/>
    <w:rsid w:val="006B7BAC"/>
    <w:rsid w:val="006C0585"/>
    <w:rsid w:val="006C1581"/>
    <w:rsid w:val="006C239A"/>
    <w:rsid w:val="006C29E1"/>
    <w:rsid w:val="006C71DF"/>
    <w:rsid w:val="006C7F79"/>
    <w:rsid w:val="006D0E16"/>
    <w:rsid w:val="006D154A"/>
    <w:rsid w:val="006D4BD0"/>
    <w:rsid w:val="006D55B1"/>
    <w:rsid w:val="006D5FDA"/>
    <w:rsid w:val="006D766C"/>
    <w:rsid w:val="006D7D25"/>
    <w:rsid w:val="006E1879"/>
    <w:rsid w:val="006E233E"/>
    <w:rsid w:val="006E58DB"/>
    <w:rsid w:val="006E7B06"/>
    <w:rsid w:val="006F058F"/>
    <w:rsid w:val="006F134F"/>
    <w:rsid w:val="006F1F15"/>
    <w:rsid w:val="006F21EC"/>
    <w:rsid w:val="006F269B"/>
    <w:rsid w:val="006F30FF"/>
    <w:rsid w:val="006F5634"/>
    <w:rsid w:val="00701A09"/>
    <w:rsid w:val="007025C1"/>
    <w:rsid w:val="007032BF"/>
    <w:rsid w:val="007104C1"/>
    <w:rsid w:val="00713495"/>
    <w:rsid w:val="00713574"/>
    <w:rsid w:val="0071422C"/>
    <w:rsid w:val="007155FA"/>
    <w:rsid w:val="007237E9"/>
    <w:rsid w:val="00724E7B"/>
    <w:rsid w:val="00725E5D"/>
    <w:rsid w:val="00730716"/>
    <w:rsid w:val="007321DA"/>
    <w:rsid w:val="00732897"/>
    <w:rsid w:val="00733FA9"/>
    <w:rsid w:val="0073466E"/>
    <w:rsid w:val="0073498E"/>
    <w:rsid w:val="0073722D"/>
    <w:rsid w:val="00737B01"/>
    <w:rsid w:val="00740D3A"/>
    <w:rsid w:val="00740F42"/>
    <w:rsid w:val="00751E86"/>
    <w:rsid w:val="007543B0"/>
    <w:rsid w:val="0075529A"/>
    <w:rsid w:val="007558A7"/>
    <w:rsid w:val="007562BF"/>
    <w:rsid w:val="00760995"/>
    <w:rsid w:val="007639C9"/>
    <w:rsid w:val="007659E8"/>
    <w:rsid w:val="00766E21"/>
    <w:rsid w:val="007671C9"/>
    <w:rsid w:val="00771818"/>
    <w:rsid w:val="00772686"/>
    <w:rsid w:val="0078066D"/>
    <w:rsid w:val="00782317"/>
    <w:rsid w:val="007834E1"/>
    <w:rsid w:val="00783EBD"/>
    <w:rsid w:val="00785695"/>
    <w:rsid w:val="00786EA4"/>
    <w:rsid w:val="0079263F"/>
    <w:rsid w:val="00794536"/>
    <w:rsid w:val="00795089"/>
    <w:rsid w:val="00796EF7"/>
    <w:rsid w:val="007A0C84"/>
    <w:rsid w:val="007A2D75"/>
    <w:rsid w:val="007A4662"/>
    <w:rsid w:val="007A53BD"/>
    <w:rsid w:val="007A5DEA"/>
    <w:rsid w:val="007A5F92"/>
    <w:rsid w:val="007B0147"/>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109A"/>
    <w:rsid w:val="007F2068"/>
    <w:rsid w:val="007F2B18"/>
    <w:rsid w:val="007F53DD"/>
    <w:rsid w:val="00800E20"/>
    <w:rsid w:val="00801DEC"/>
    <w:rsid w:val="00803189"/>
    <w:rsid w:val="008042D1"/>
    <w:rsid w:val="00806C0C"/>
    <w:rsid w:val="00810A21"/>
    <w:rsid w:val="00810BAE"/>
    <w:rsid w:val="00812113"/>
    <w:rsid w:val="008130E6"/>
    <w:rsid w:val="0081434A"/>
    <w:rsid w:val="008153F8"/>
    <w:rsid w:val="00816A80"/>
    <w:rsid w:val="00821569"/>
    <w:rsid w:val="008226E5"/>
    <w:rsid w:val="00826B6A"/>
    <w:rsid w:val="00826BC7"/>
    <w:rsid w:val="00835C42"/>
    <w:rsid w:val="00835C5B"/>
    <w:rsid w:val="00842874"/>
    <w:rsid w:val="00842A37"/>
    <w:rsid w:val="00842A7D"/>
    <w:rsid w:val="00844456"/>
    <w:rsid w:val="00845543"/>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967B6"/>
    <w:rsid w:val="008A0598"/>
    <w:rsid w:val="008A2E82"/>
    <w:rsid w:val="008A2E98"/>
    <w:rsid w:val="008A3BF3"/>
    <w:rsid w:val="008A6DFE"/>
    <w:rsid w:val="008B3DD9"/>
    <w:rsid w:val="008B54DB"/>
    <w:rsid w:val="008B57A7"/>
    <w:rsid w:val="008B7568"/>
    <w:rsid w:val="008C2F78"/>
    <w:rsid w:val="008C5B5F"/>
    <w:rsid w:val="008D372F"/>
    <w:rsid w:val="008D5B56"/>
    <w:rsid w:val="008D6CAB"/>
    <w:rsid w:val="008E0C84"/>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7FDF"/>
    <w:rsid w:val="00921D9F"/>
    <w:rsid w:val="00922ACD"/>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7052A"/>
    <w:rsid w:val="0097071A"/>
    <w:rsid w:val="0097112C"/>
    <w:rsid w:val="0097538C"/>
    <w:rsid w:val="00977493"/>
    <w:rsid w:val="00977E69"/>
    <w:rsid w:val="00981A70"/>
    <w:rsid w:val="00983651"/>
    <w:rsid w:val="00984DD8"/>
    <w:rsid w:val="00986481"/>
    <w:rsid w:val="00991BEB"/>
    <w:rsid w:val="00991E15"/>
    <w:rsid w:val="00992975"/>
    <w:rsid w:val="00992A12"/>
    <w:rsid w:val="00994054"/>
    <w:rsid w:val="00996E53"/>
    <w:rsid w:val="009973DF"/>
    <w:rsid w:val="00997A82"/>
    <w:rsid w:val="009A0974"/>
    <w:rsid w:val="009B3EDB"/>
    <w:rsid w:val="009B3EFB"/>
    <w:rsid w:val="009B6BB2"/>
    <w:rsid w:val="009B7FBE"/>
    <w:rsid w:val="009C1012"/>
    <w:rsid w:val="009C323E"/>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470B"/>
    <w:rsid w:val="009F7EAC"/>
    <w:rsid w:val="00A012C8"/>
    <w:rsid w:val="00A02C88"/>
    <w:rsid w:val="00A06005"/>
    <w:rsid w:val="00A06143"/>
    <w:rsid w:val="00A06726"/>
    <w:rsid w:val="00A079C0"/>
    <w:rsid w:val="00A07A2E"/>
    <w:rsid w:val="00A10976"/>
    <w:rsid w:val="00A10D64"/>
    <w:rsid w:val="00A11043"/>
    <w:rsid w:val="00A11584"/>
    <w:rsid w:val="00A138E6"/>
    <w:rsid w:val="00A14526"/>
    <w:rsid w:val="00A1701D"/>
    <w:rsid w:val="00A1774F"/>
    <w:rsid w:val="00A22CED"/>
    <w:rsid w:val="00A23BAF"/>
    <w:rsid w:val="00A26180"/>
    <w:rsid w:val="00A325C4"/>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813ED"/>
    <w:rsid w:val="00A82AC2"/>
    <w:rsid w:val="00A84B2B"/>
    <w:rsid w:val="00A8551F"/>
    <w:rsid w:val="00A8633B"/>
    <w:rsid w:val="00A87134"/>
    <w:rsid w:val="00A87EA4"/>
    <w:rsid w:val="00A9144B"/>
    <w:rsid w:val="00A92F4F"/>
    <w:rsid w:val="00A95584"/>
    <w:rsid w:val="00A9625E"/>
    <w:rsid w:val="00A9749F"/>
    <w:rsid w:val="00AA0D3F"/>
    <w:rsid w:val="00AA1DB9"/>
    <w:rsid w:val="00AA4F06"/>
    <w:rsid w:val="00AA5787"/>
    <w:rsid w:val="00AB0C5A"/>
    <w:rsid w:val="00AB3B3F"/>
    <w:rsid w:val="00AB3D45"/>
    <w:rsid w:val="00AB48ED"/>
    <w:rsid w:val="00AB5767"/>
    <w:rsid w:val="00AB5C5C"/>
    <w:rsid w:val="00AB6510"/>
    <w:rsid w:val="00AB6A70"/>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69D9"/>
    <w:rsid w:val="00B06B26"/>
    <w:rsid w:val="00B06EAE"/>
    <w:rsid w:val="00B0747D"/>
    <w:rsid w:val="00B10133"/>
    <w:rsid w:val="00B1075F"/>
    <w:rsid w:val="00B10D9F"/>
    <w:rsid w:val="00B13D27"/>
    <w:rsid w:val="00B17689"/>
    <w:rsid w:val="00B20E88"/>
    <w:rsid w:val="00B21D9D"/>
    <w:rsid w:val="00B2342E"/>
    <w:rsid w:val="00B24C89"/>
    <w:rsid w:val="00B2607F"/>
    <w:rsid w:val="00B30283"/>
    <w:rsid w:val="00B30285"/>
    <w:rsid w:val="00B30AE0"/>
    <w:rsid w:val="00B3544D"/>
    <w:rsid w:val="00B468D8"/>
    <w:rsid w:val="00B476AD"/>
    <w:rsid w:val="00B5217E"/>
    <w:rsid w:val="00B5300F"/>
    <w:rsid w:val="00B53FC7"/>
    <w:rsid w:val="00B563B7"/>
    <w:rsid w:val="00B56D8B"/>
    <w:rsid w:val="00B574E0"/>
    <w:rsid w:val="00B61C4C"/>
    <w:rsid w:val="00B64B75"/>
    <w:rsid w:val="00B6571C"/>
    <w:rsid w:val="00B658A8"/>
    <w:rsid w:val="00B701F7"/>
    <w:rsid w:val="00B7021A"/>
    <w:rsid w:val="00B70B2D"/>
    <w:rsid w:val="00B74728"/>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2F68"/>
    <w:rsid w:val="00C16707"/>
    <w:rsid w:val="00C20AE4"/>
    <w:rsid w:val="00C242DD"/>
    <w:rsid w:val="00C24DAB"/>
    <w:rsid w:val="00C253CC"/>
    <w:rsid w:val="00C264BE"/>
    <w:rsid w:val="00C30400"/>
    <w:rsid w:val="00C30C91"/>
    <w:rsid w:val="00C363B8"/>
    <w:rsid w:val="00C40047"/>
    <w:rsid w:val="00C413D7"/>
    <w:rsid w:val="00C41533"/>
    <w:rsid w:val="00C42B09"/>
    <w:rsid w:val="00C42C03"/>
    <w:rsid w:val="00C44BBA"/>
    <w:rsid w:val="00C44D9D"/>
    <w:rsid w:val="00C472D4"/>
    <w:rsid w:val="00C5286F"/>
    <w:rsid w:val="00C54A26"/>
    <w:rsid w:val="00C60E08"/>
    <w:rsid w:val="00C615B3"/>
    <w:rsid w:val="00C64EFC"/>
    <w:rsid w:val="00C65C73"/>
    <w:rsid w:val="00C75488"/>
    <w:rsid w:val="00C77D48"/>
    <w:rsid w:val="00C8099E"/>
    <w:rsid w:val="00C85083"/>
    <w:rsid w:val="00C91ACD"/>
    <w:rsid w:val="00C931A2"/>
    <w:rsid w:val="00C94578"/>
    <w:rsid w:val="00C95682"/>
    <w:rsid w:val="00C97C7C"/>
    <w:rsid w:val="00CA1EB9"/>
    <w:rsid w:val="00CA535D"/>
    <w:rsid w:val="00CA79F8"/>
    <w:rsid w:val="00CA7A6F"/>
    <w:rsid w:val="00CB0F57"/>
    <w:rsid w:val="00CB206C"/>
    <w:rsid w:val="00CB321D"/>
    <w:rsid w:val="00CB3F40"/>
    <w:rsid w:val="00CB73FD"/>
    <w:rsid w:val="00CC06C6"/>
    <w:rsid w:val="00CC1493"/>
    <w:rsid w:val="00CC14E7"/>
    <w:rsid w:val="00CC211F"/>
    <w:rsid w:val="00CC48A7"/>
    <w:rsid w:val="00CC4F3B"/>
    <w:rsid w:val="00CC702E"/>
    <w:rsid w:val="00CD0BBA"/>
    <w:rsid w:val="00CD11F1"/>
    <w:rsid w:val="00CD2BC9"/>
    <w:rsid w:val="00CD379D"/>
    <w:rsid w:val="00CD5497"/>
    <w:rsid w:val="00CD5F7D"/>
    <w:rsid w:val="00CD7514"/>
    <w:rsid w:val="00CD7EC8"/>
    <w:rsid w:val="00CE24C7"/>
    <w:rsid w:val="00CE31F8"/>
    <w:rsid w:val="00CE4E9C"/>
    <w:rsid w:val="00CE56CC"/>
    <w:rsid w:val="00CE5729"/>
    <w:rsid w:val="00CE58A6"/>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4E85"/>
    <w:rsid w:val="00D35DEF"/>
    <w:rsid w:val="00D371A8"/>
    <w:rsid w:val="00D37A55"/>
    <w:rsid w:val="00D424F5"/>
    <w:rsid w:val="00D446D4"/>
    <w:rsid w:val="00D44A1A"/>
    <w:rsid w:val="00D465F2"/>
    <w:rsid w:val="00D4710A"/>
    <w:rsid w:val="00D501E9"/>
    <w:rsid w:val="00D5182E"/>
    <w:rsid w:val="00D5457A"/>
    <w:rsid w:val="00D57D59"/>
    <w:rsid w:val="00D62270"/>
    <w:rsid w:val="00D62E03"/>
    <w:rsid w:val="00D644ED"/>
    <w:rsid w:val="00D64CB7"/>
    <w:rsid w:val="00D64DD4"/>
    <w:rsid w:val="00D66D44"/>
    <w:rsid w:val="00D71F10"/>
    <w:rsid w:val="00D72D96"/>
    <w:rsid w:val="00D768EA"/>
    <w:rsid w:val="00D80A6A"/>
    <w:rsid w:val="00D80B51"/>
    <w:rsid w:val="00D843A0"/>
    <w:rsid w:val="00D866B6"/>
    <w:rsid w:val="00D92AB2"/>
    <w:rsid w:val="00D92E92"/>
    <w:rsid w:val="00D95391"/>
    <w:rsid w:val="00D97B9A"/>
    <w:rsid w:val="00DA233F"/>
    <w:rsid w:val="00DA5CB2"/>
    <w:rsid w:val="00DA6C29"/>
    <w:rsid w:val="00DA7718"/>
    <w:rsid w:val="00DA7CA1"/>
    <w:rsid w:val="00DB21A6"/>
    <w:rsid w:val="00DC17E0"/>
    <w:rsid w:val="00DC3FA1"/>
    <w:rsid w:val="00DC69CF"/>
    <w:rsid w:val="00DC6E90"/>
    <w:rsid w:val="00DD255C"/>
    <w:rsid w:val="00DD2B51"/>
    <w:rsid w:val="00DD2D4B"/>
    <w:rsid w:val="00DD3CE0"/>
    <w:rsid w:val="00DD440A"/>
    <w:rsid w:val="00DD67BB"/>
    <w:rsid w:val="00DD7E59"/>
    <w:rsid w:val="00DE06A0"/>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286C"/>
    <w:rsid w:val="00E13D2B"/>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377"/>
    <w:rsid w:val="00E65A3D"/>
    <w:rsid w:val="00E70ABD"/>
    <w:rsid w:val="00E7221E"/>
    <w:rsid w:val="00E751C1"/>
    <w:rsid w:val="00E80EB2"/>
    <w:rsid w:val="00E86685"/>
    <w:rsid w:val="00E87AD0"/>
    <w:rsid w:val="00E90E7A"/>
    <w:rsid w:val="00E95B59"/>
    <w:rsid w:val="00E9621B"/>
    <w:rsid w:val="00EA072B"/>
    <w:rsid w:val="00EA212C"/>
    <w:rsid w:val="00EA33F7"/>
    <w:rsid w:val="00EA38A6"/>
    <w:rsid w:val="00EA42E5"/>
    <w:rsid w:val="00EA5844"/>
    <w:rsid w:val="00EB49F1"/>
    <w:rsid w:val="00EB6084"/>
    <w:rsid w:val="00EB67AD"/>
    <w:rsid w:val="00EB69AD"/>
    <w:rsid w:val="00EB7668"/>
    <w:rsid w:val="00EC30C8"/>
    <w:rsid w:val="00EC4738"/>
    <w:rsid w:val="00EC576E"/>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E86"/>
    <w:rsid w:val="00F0007D"/>
    <w:rsid w:val="00F00682"/>
    <w:rsid w:val="00F010E6"/>
    <w:rsid w:val="00F02C70"/>
    <w:rsid w:val="00F04130"/>
    <w:rsid w:val="00F07328"/>
    <w:rsid w:val="00F10939"/>
    <w:rsid w:val="00F135E0"/>
    <w:rsid w:val="00F13B95"/>
    <w:rsid w:val="00F1798E"/>
    <w:rsid w:val="00F21E95"/>
    <w:rsid w:val="00F23A6D"/>
    <w:rsid w:val="00F2427F"/>
    <w:rsid w:val="00F25D24"/>
    <w:rsid w:val="00F31887"/>
    <w:rsid w:val="00F33DD9"/>
    <w:rsid w:val="00F34BF5"/>
    <w:rsid w:val="00F4039B"/>
    <w:rsid w:val="00F41998"/>
    <w:rsid w:val="00F43E67"/>
    <w:rsid w:val="00F443E5"/>
    <w:rsid w:val="00F45AA6"/>
    <w:rsid w:val="00F45F5C"/>
    <w:rsid w:val="00F47AA5"/>
    <w:rsid w:val="00F526DE"/>
    <w:rsid w:val="00F54F29"/>
    <w:rsid w:val="00F563C4"/>
    <w:rsid w:val="00F615F5"/>
    <w:rsid w:val="00F6231E"/>
    <w:rsid w:val="00F7020C"/>
    <w:rsid w:val="00F708DF"/>
    <w:rsid w:val="00F737DA"/>
    <w:rsid w:val="00F73E30"/>
    <w:rsid w:val="00F746C7"/>
    <w:rsid w:val="00F75316"/>
    <w:rsid w:val="00F81E3E"/>
    <w:rsid w:val="00F83D75"/>
    <w:rsid w:val="00F864A8"/>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B74"/>
    <w:rsid w:val="00FD5678"/>
    <w:rsid w:val="00FD69BF"/>
    <w:rsid w:val="00FD6D26"/>
    <w:rsid w:val="00FD7010"/>
    <w:rsid w:val="00FE1588"/>
    <w:rsid w:val="00FE187F"/>
    <w:rsid w:val="00FE19B9"/>
    <w:rsid w:val="00FE2217"/>
    <w:rsid w:val="00FE2E1E"/>
    <w:rsid w:val="00FE38FF"/>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NichtaufgelsteErwhnung4">
    <w:name w:val="Nicht aufgelöste Erwähnung4"/>
    <w:basedOn w:val="Absatz-Standardschriftart"/>
    <w:uiPriority w:val="99"/>
    <w:semiHidden/>
    <w:unhideWhenUsed/>
    <w:rsid w:val="00F52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ew-d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share/AjCBaeW9GJ2ZrwQ99K9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96E88-64BA-40B3-A13B-3860580CFCEE}">
  <ds:schemaRefs>
    <ds:schemaRef ds:uri="http://schemas.openxmlformats.org/officeDocument/2006/bibliography"/>
  </ds:schemaRefs>
</ds:datastoreItem>
</file>

<file path=customXml/itemProps3.xml><?xml version="1.0" encoding="utf-8"?>
<ds:datastoreItem xmlns:ds="http://schemas.openxmlformats.org/officeDocument/2006/customXml" ds:itemID="{6D059903-1148-4866-8FBE-2A6E82F44E7F}">
  <ds:schemaRefs>
    <ds:schemaRef ds:uri="http://purl.org/dc/elements/1.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 ds:uri="7e9c727e-d45f-4c1f-9856-d02c6c615056"/>
    <ds:schemaRef ds:uri="http://schemas.microsoft.com/office/infopath/2007/PartnerControls"/>
    <ds:schemaRef ds:uri="af33bca9-0764-4c5e-92b6-8d18ee39a561"/>
    <ds:schemaRef ds:uri="http://purl.org/dc/terms/"/>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5700</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15</cp:revision>
  <cp:lastPrinted>2022-06-08T15:34:00Z</cp:lastPrinted>
  <dcterms:created xsi:type="dcterms:W3CDTF">2022-06-08T12:44:00Z</dcterms:created>
  <dcterms:modified xsi:type="dcterms:W3CDTF">2022-06-08T15:34:00Z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